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华池县城市管理综合行政执法队</w:t>
      </w:r>
    </w:p>
    <w:p w14:paraId="0DBE498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79FFAD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62BA02A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负责贯彻执行国家、省、市有关城市管理行政执法的法律、法规和政策规定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;负责研究制定城市管理行政执法工作规划并组织实施;负责行使市容环境卫生、</w:t>
      </w:r>
      <w:r>
        <w:rPr>
          <w:rFonts w:ascii="仿宋_GB2312" w:hAnsi="仿宋" w:eastAsia="仿宋_GB2312" w:cs="宋体"/>
          <w:kern w:val="0"/>
          <w:sz w:val="32"/>
          <w:szCs w:val="32"/>
        </w:rPr>
        <w:t> 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绿化管理、市政管理方面法律、法规、规章规定的行政处罚权和城市规划管理、环境保护、工商行政管理、公安交通方面法律、法规规定的部分行政处罚权;承担城市管理行政执法队伍的管理培训、监督考评等工作;承办县委、县政府和上级业务部门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EE9E8B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5A38B7E5">
      <w:pPr>
        <w:spacing w:line="600" w:lineRule="exact"/>
        <w:ind w:firstLine="630" w:firstLineChars="200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2008年12月被甘肃省人事厅列入参照公务员法管理范围，2015年5月由庆阳市机构编制委员会更名为“华池县城市管理行政执法局”，为全额拨款正科级参照公务员法管理单位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2023年机构改革为“华池县城市管理综合行政执法队”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64F9A4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2583.59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2583.59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2583.59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2583.59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979.60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</w:t>
      </w:r>
      <w:r>
        <w:rPr>
          <w:rStyle w:val="21"/>
          <w:rFonts w:hint="default" w:hAnsi="仿宋"/>
        </w:rPr>
        <w:t>占</w:t>
      </w:r>
      <w:r>
        <w:rPr>
          <w:rStyle w:val="21"/>
          <w:rFonts w:hint="eastAsia" w:hAnsi="仿宋" w:eastAsia="仿宋_GB2312"/>
          <w:lang w:val="en-US" w:eastAsia="zh-CN"/>
        </w:rPr>
        <w:t>37.91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1603.99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62.09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2583.59</w:t>
      </w:r>
      <w:r>
        <w:rPr>
          <w:rStyle w:val="21"/>
          <w:rFonts w:hint="default" w:hAnsi="仿宋"/>
        </w:rPr>
        <w:t>万元，包括：</w:t>
      </w:r>
      <w:r>
        <w:rPr>
          <w:rStyle w:val="21"/>
          <w:rFonts w:hint="eastAsia" w:hAnsi="仿宋" w:eastAsia="仿宋_GB2312"/>
          <w:lang w:val="en-US" w:eastAsia="zh-CN"/>
        </w:rPr>
        <w:t>卫生健康</w:t>
      </w:r>
      <w:r>
        <w:rPr>
          <w:rStyle w:val="21"/>
          <w:rFonts w:hint="default" w:hAnsi="仿宋"/>
        </w:rPr>
        <w:t>支出</w:t>
      </w:r>
      <w:r>
        <w:rPr>
          <w:rStyle w:val="22"/>
          <w:rFonts w:hint="eastAsia" w:ascii="仿宋_GB2312" w:hAnsi="仿宋" w:eastAsia="仿宋_GB2312"/>
          <w:lang w:val="en-US" w:eastAsia="zh-CN"/>
        </w:rPr>
        <w:t>38.02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163.23</w:t>
      </w:r>
      <w:r>
        <w:rPr>
          <w:rStyle w:val="21"/>
          <w:rFonts w:hint="default" w:hAnsi="仿宋"/>
        </w:rPr>
        <w:t>万元、城乡社区支出</w:t>
      </w:r>
      <w:r>
        <w:rPr>
          <w:rStyle w:val="22"/>
          <w:rFonts w:hint="eastAsia" w:ascii="仿宋_GB2312" w:hAnsi="仿宋" w:eastAsia="仿宋_GB2312"/>
          <w:lang w:val="en-US" w:eastAsia="zh-CN"/>
        </w:rPr>
        <w:t>2327.71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，住房保障支出</w:t>
      </w:r>
      <w:r>
        <w:rPr>
          <w:rStyle w:val="21"/>
          <w:rFonts w:hint="eastAsia" w:hAnsi="仿宋" w:eastAsia="仿宋_GB2312"/>
          <w:lang w:val="en-US" w:eastAsia="zh-CN"/>
        </w:rPr>
        <w:t>54.62万元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979.60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50.1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5.38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职工养老保险，工伤保险，失业保险，医疗保险等缴费基数增加使各项保险增加。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913.73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65.87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0976BA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1603.99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3.21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项目增加。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包括所有项目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55.18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12.38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28.92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机关运行成本增加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1228.35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其中：办公用房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1423.25平方米，价值275.35万元。单价20万元以上的设备价值761.19万元。202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年拟采购固定资产约20万元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D789B0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项目名称：城市建设运行维护费</w:t>
      </w:r>
    </w:p>
    <w:p w14:paraId="2B04A74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1、项目概况：街道路面破损修补，路缘石更换等；垃圾无害化处理等，实现城市道路维护、城市人居环境美化、生活垃圾处理无害化、城市道路照明亮化的目标。</w:t>
      </w:r>
    </w:p>
    <w:p w14:paraId="577A5E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2、立项依据：依据中共庆阳市委庆阳市人民政府关于加强城市管理工作的意见。</w:t>
      </w:r>
    </w:p>
    <w:p w14:paraId="13DB1E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3、实施主体：华池县城市管理行政执法局</w:t>
      </w:r>
    </w:p>
    <w:p w14:paraId="26867D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4、实施周期：一年</w:t>
      </w:r>
    </w:p>
    <w:p w14:paraId="3BDA129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5、实施计划：定期检查城区市政设施使用情况并及时予以维修管护。</w:t>
      </w:r>
    </w:p>
    <w:p w14:paraId="46A2D34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6、年度预算安排：50万元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7、预期总体目标：实现城市道路维护、城市人居环境美化、生活垃圾处理无害化、城市道路照明亮化的目标。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%。“双监控”发现存在的问题和主要原因是：一是绩效目标设置合理性有待加强，二是常态化绩效管理意识需进一步加强，三是绩效管理重视程度有待提高。开展1-9月绩效运行监控项目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一是绩效目标设置合理性有待加强，二是常态化绩效管理意识需进一步加强，三是绩效管理重视程度有待提高。绩效运行监控在部门内部通报整改情况：一是完善监控方式；二是适当调整绩效目标；三是坚持常态化绩效管理。坚持科学理财，加强制度创新，深入落实财政体制改革，积极推进中期财政规划管理，加强预算约束。认真落实过紧日子要求，严把关口。强化预算绩效管理，推动绩效管理常态化、规范化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个。绩效自评结果随部门决算报送财政和随决算公开情况：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我单位及时报送绩效自评结果决算和随决算及时公开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2583.59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7.69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default" w:ascii="仿宋_GB2312" w:hAnsi="仿宋" w:eastAsia="仿宋_GB2312"/>
          <w:sz w:val="32"/>
          <w:szCs w:val="32"/>
        </w:rPr>
        <w:t>9个、三级指标17个；项目支出绩效目标围绕成本指标、产出指标、效益指标、满意度指标四个维度，设置二级指标9个、三级指标76个。各项绩效目标内容指向明确、细化量化、合理可行，符合规定的格式要求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1F2E4C0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华池县城市管理综合行政执法队</w:t>
      </w:r>
    </w:p>
    <w:p w14:paraId="77E85168">
      <w:pPr>
        <w:adjustRightInd w:val="0"/>
        <w:snapToGrid w:val="0"/>
        <w:spacing w:line="640" w:lineRule="exact"/>
        <w:ind w:right="1120" w:firstLine="4800" w:firstLineChars="1500"/>
        <w:contextualSpacing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华池县城市管理综合行政执法队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华池县城市管理综合行政执法队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31CF2A76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32</Words>
  <Characters>35</Characters>
  <Lines>68</Lines>
  <Paragraphs>19</Paragraphs>
  <TotalTime>52</TotalTime>
  <ScaleCrop>false</ScaleCrop>
  <LinksUpToDate>false</LinksUpToDate>
  <CharactersWithSpaces>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瞳</cp:lastModifiedBy>
  <cp:lastPrinted>2022-02-15T07:45:00Z</cp:lastPrinted>
  <dcterms:modified xsi:type="dcterms:W3CDTF">2025-02-13T01:56:27Z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90D020EE3AD94738A64B427B9DCFA5FD_13</vt:lpwstr>
  </property>
  <property fmtid="{D5CDD505-2E9C-101B-9397-08002B2CF9AE}" pid="4" name="KSOTemplateDocerSaveRecord">
    <vt:lpwstr>eyJoZGlkIjoiNTU0OWEyYzY4NTMyN2EwZTM2MjA3NjMzNWE0ZGQxMDAiLCJ1c2VySWQiOiIyNDg2OTQ4MTQifQ==</vt:lpwstr>
  </property>
</Properties>
</file>