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17CD3A4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中国共产党华池县委员会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宣传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部</w:t>
      </w:r>
    </w:p>
    <w:p w14:paraId="0D160A6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9DF2EAB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</w:t>
      </w:r>
    </w:p>
    <w:p w14:paraId="5D4696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贯彻执行中央和省市、县委有关意识形态方面的方针政策，制订全县宣传文化、精神文明建设工作的总体规划并组织实施。</w:t>
      </w:r>
    </w:p>
    <w:p w14:paraId="68BE40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负责组织党的中心任务和路线、方针、政策的宣传，国际国内形势的宣传。</w:t>
      </w:r>
    </w:p>
    <w:p w14:paraId="55DF75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负责指导，组织和协调对全县经济社会发展战略、重大经济政策、重大经济活动的宣传。</w:t>
      </w:r>
    </w:p>
    <w:p w14:paraId="71AC735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负责组织、指导全县各级党组织理论教育、学习、宣传、研究工作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9D7810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华池县委宣传部下设4个事业单位(内设机构)，即：华池县网络和舆情应急中心、华池县社会科学界联合会、华池县未成年人思想道德建设办公室、华池县新时代文明实践中心办公室。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76DB884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3091B3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480.65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216F3F22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480.65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万元（详见部门预算公开表1,2）。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480.65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480.65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万元（详见部门预算公开表3）。</w:t>
      </w:r>
      <w:r>
        <w:rPr>
          <w:rStyle w:val="22"/>
          <w:rFonts w:hint="default" w:hAnsi="仿宋"/>
        </w:rPr>
        <w:t>其中：基本支出</w:t>
      </w:r>
      <w:r>
        <w:rPr>
          <w:rStyle w:val="23"/>
          <w:rFonts w:hint="eastAsia" w:ascii="仿宋_GB2312" w:hAnsi="仿宋" w:eastAsia="仿宋_GB2312"/>
          <w:lang w:val="en-US" w:eastAsia="zh-CN"/>
        </w:rPr>
        <w:t>352.65</w:t>
      </w:r>
      <w:r>
        <w:rPr>
          <w:rStyle w:val="22"/>
          <w:rFonts w:hint="default" w:hAnsi="仿宋"/>
        </w:rPr>
        <w:t>万元，占</w:t>
      </w:r>
      <w:r>
        <w:rPr>
          <w:rStyle w:val="22"/>
          <w:rFonts w:hint="eastAsia" w:hAnsi="仿宋" w:eastAsia="仿宋_GB2312"/>
          <w:lang w:val="en-US" w:eastAsia="zh-CN"/>
        </w:rPr>
        <w:t>73.37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；项目支出</w:t>
      </w:r>
      <w:r>
        <w:rPr>
          <w:rStyle w:val="22"/>
          <w:rFonts w:hint="eastAsia" w:hAnsi="仿宋" w:eastAsia="仿宋_GB2312"/>
          <w:lang w:val="en-US" w:eastAsia="zh-CN"/>
        </w:rPr>
        <w:t>128</w:t>
      </w:r>
      <w:r>
        <w:rPr>
          <w:rStyle w:val="22"/>
          <w:rFonts w:hint="default" w:hAnsi="仿宋"/>
        </w:rPr>
        <w:t>万元，占</w:t>
      </w:r>
      <w:r>
        <w:rPr>
          <w:rStyle w:val="23"/>
          <w:rFonts w:hint="eastAsia" w:ascii="仿宋_GB2312" w:hAnsi="仿宋" w:eastAsia="仿宋_GB2312"/>
          <w:lang w:val="en-US" w:eastAsia="zh-CN"/>
        </w:rPr>
        <w:t>26.63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； 上年结转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default" w:hAnsi="仿宋"/>
        </w:rPr>
        <w:t>万元，占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3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default" w:hAnsi="仿宋"/>
        </w:rPr>
        <w:t>年一般公共预算当年支出</w:t>
      </w:r>
      <w:r>
        <w:rPr>
          <w:rStyle w:val="23"/>
          <w:rFonts w:hint="eastAsia" w:ascii="仿宋_GB2312" w:hAnsi="仿宋" w:eastAsia="仿宋_GB2312"/>
          <w:lang w:val="en-US" w:eastAsia="zh-CN"/>
        </w:rPr>
        <w:t>480.65</w:t>
      </w:r>
      <w:r>
        <w:rPr>
          <w:rStyle w:val="22"/>
          <w:rFonts w:hint="default" w:hAnsi="仿宋"/>
        </w:rPr>
        <w:t>万元，包括：一般公共服务支出</w:t>
      </w:r>
      <w:r>
        <w:rPr>
          <w:rStyle w:val="23"/>
          <w:rFonts w:hint="eastAsia" w:ascii="仿宋_GB2312" w:hAnsi="仿宋" w:eastAsia="仿宋_GB2312"/>
          <w:lang w:val="en-US" w:eastAsia="zh-CN"/>
        </w:rPr>
        <w:t>401.47</w:t>
      </w:r>
      <w:r>
        <w:rPr>
          <w:rStyle w:val="22"/>
          <w:rFonts w:hint="default" w:hAnsi="仿宋"/>
        </w:rPr>
        <w:t>万元、公共安全支出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default" w:hAnsi="仿宋"/>
        </w:rPr>
        <w:t>万元、教育支出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default" w:hAnsi="仿宋"/>
        </w:rPr>
        <w:t>万元、科学技术支出</w:t>
      </w:r>
      <w:r>
        <w:rPr>
          <w:rStyle w:val="23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default" w:hAnsi="仿宋"/>
        </w:rPr>
        <w:t>万元、社会保障和就业支出</w:t>
      </w:r>
      <w:r>
        <w:rPr>
          <w:rStyle w:val="23"/>
          <w:rFonts w:hint="eastAsia" w:ascii="仿宋_GB2312" w:hAnsi="仿宋" w:eastAsia="仿宋_GB2312"/>
          <w:lang w:val="en-US" w:eastAsia="zh-CN"/>
        </w:rPr>
        <w:t>44.66</w:t>
      </w:r>
      <w:r>
        <w:rPr>
          <w:rStyle w:val="22"/>
          <w:rFonts w:hint="default" w:hAnsi="仿宋"/>
        </w:rPr>
        <w:t>万元、</w:t>
      </w:r>
      <w:r>
        <w:rPr>
          <w:rStyle w:val="22"/>
          <w:rFonts w:hint="eastAsia" w:hAnsi="仿宋" w:eastAsia="仿宋_GB2312"/>
          <w:lang w:val="en-US" w:eastAsia="zh-CN"/>
        </w:rPr>
        <w:t>卫生健康</w:t>
      </w:r>
      <w:r>
        <w:rPr>
          <w:rStyle w:val="22"/>
          <w:rFonts w:hint="default" w:hAnsi="仿宋"/>
        </w:rPr>
        <w:t>支出</w:t>
      </w:r>
      <w:r>
        <w:rPr>
          <w:rStyle w:val="23"/>
          <w:rFonts w:hint="eastAsia" w:ascii="仿宋_GB2312" w:hAnsi="仿宋" w:eastAsia="仿宋_GB2312"/>
          <w:lang w:val="en-US" w:eastAsia="zh-CN"/>
        </w:rPr>
        <w:t>13.78</w:t>
      </w:r>
      <w:r>
        <w:rPr>
          <w:rStyle w:val="22"/>
          <w:rFonts w:hint="default" w:hAnsi="仿宋"/>
        </w:rPr>
        <w:t>万元、</w:t>
      </w:r>
      <w:r>
        <w:rPr>
          <w:rStyle w:val="22"/>
          <w:rFonts w:hint="eastAsia" w:hAnsi="仿宋" w:eastAsia="仿宋_GB2312"/>
          <w:lang w:val="en-US" w:eastAsia="zh-CN"/>
        </w:rPr>
        <w:t>住房保障支出</w:t>
      </w:r>
      <w:r>
        <w:rPr>
          <w:rStyle w:val="22"/>
          <w:rFonts w:hint="default" w:hAnsi="仿宋"/>
        </w:rPr>
        <w:t>支出</w:t>
      </w:r>
      <w:r>
        <w:rPr>
          <w:rStyle w:val="23"/>
          <w:rFonts w:hint="eastAsia" w:ascii="仿宋_GB2312" w:hAnsi="仿宋" w:eastAsia="仿宋_GB2312"/>
          <w:lang w:val="en-US" w:eastAsia="zh-CN"/>
        </w:rPr>
        <w:t>20.74</w:t>
      </w:r>
      <w:r>
        <w:rPr>
          <w:rStyle w:val="22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Style w:val="23"/>
          <w:rFonts w:hint="eastAsia" w:ascii="仿宋_GB2312" w:hAnsi="仿宋" w:eastAsia="仿宋_GB2312"/>
          <w:lang w:val="en-US" w:eastAsia="zh-CN"/>
        </w:rPr>
        <w:t>352.65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24.15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7.4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人员工资增长，各类保险金额增长。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277.89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74.76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8.86</w:t>
      </w:r>
      <w:r>
        <w:rPr>
          <w:rFonts w:hint="eastAsia" w:ascii="仿宋_GB2312" w:hAnsi="仿宋" w:eastAsia="仿宋_GB2312"/>
          <w:sz w:val="32"/>
          <w:szCs w:val="32"/>
        </w:rPr>
        <w:t>万元，减少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" w:eastAsia="仿宋_GB2312"/>
          <w:sz w:val="32"/>
          <w:szCs w:val="32"/>
        </w:rPr>
        <w:t>%，减少的主要原因是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减少了宣传部创建省级文明县工作专项经费。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宣传思想精神文明建设工作专项经费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社会主义核心价值观宣传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10万元</w:t>
      </w:r>
      <w:r>
        <w:rPr>
          <w:rFonts w:hint="eastAsia" w:ascii="仿宋_GB2312" w:hAnsi="仿宋" w:eastAsia="仿宋_GB2312"/>
          <w:sz w:val="32"/>
          <w:szCs w:val="32"/>
        </w:rPr>
        <w:t>、网络舆情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和网络安全</w:t>
      </w:r>
      <w:r>
        <w:rPr>
          <w:rFonts w:hint="eastAsia" w:ascii="仿宋_GB2312" w:hAnsi="仿宋" w:eastAsia="仿宋_GB2312"/>
          <w:sz w:val="32"/>
          <w:szCs w:val="32"/>
        </w:rPr>
        <w:t>监测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预警25万元</w:t>
      </w:r>
      <w:r>
        <w:rPr>
          <w:rFonts w:hint="eastAsia" w:ascii="仿宋_GB2312" w:hAnsi="仿宋" w:eastAsia="仿宋_GB2312"/>
          <w:sz w:val="32"/>
          <w:szCs w:val="32"/>
        </w:rPr>
        <w:t>、新时代文明实践中心建设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、新时代文明实践云平台经费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、华池县媒体综合信息服务合作项目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5万元、哲学社会科学专项经费10万元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、农文旅融合发展百千万工程宣传推介工作专项经费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10万元、扫黄打非专项经费3万元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40326779">
      <w:pPr>
        <w:pStyle w:val="2"/>
        <w:ind w:firstLine="640" w:firstLineChars="200"/>
        <w:rPr>
          <w:rFonts w:hint="eastAsia"/>
          <w:lang w:eastAsia="zh-CN"/>
        </w:rPr>
      </w:pPr>
      <w:r>
        <w:rPr>
          <w:rStyle w:val="22"/>
          <w:rFonts w:hint="default" w:hAnsi="仿宋"/>
        </w:rPr>
        <w:t>一般公共服务支出</w:t>
      </w:r>
      <w:r>
        <w:rPr>
          <w:rStyle w:val="23"/>
          <w:rFonts w:hint="eastAsia" w:ascii="仿宋_GB2312" w:hAnsi="仿宋" w:eastAsia="仿宋_GB2312"/>
          <w:lang w:val="en-US" w:eastAsia="zh-CN"/>
        </w:rPr>
        <w:t>401.47</w:t>
      </w:r>
      <w:r>
        <w:rPr>
          <w:rStyle w:val="22"/>
          <w:rFonts w:hint="default" w:hAnsi="仿宋"/>
        </w:rPr>
        <w:t>万元、社会保障和就业支出</w:t>
      </w:r>
      <w:r>
        <w:rPr>
          <w:rStyle w:val="23"/>
          <w:rFonts w:hint="eastAsia" w:ascii="仿宋_GB2312" w:hAnsi="仿宋" w:eastAsia="仿宋_GB2312"/>
          <w:lang w:val="en-US" w:eastAsia="zh-CN"/>
        </w:rPr>
        <w:t>44.66</w:t>
      </w:r>
      <w:r>
        <w:rPr>
          <w:rStyle w:val="22"/>
          <w:rFonts w:hint="default" w:hAnsi="仿宋"/>
        </w:rPr>
        <w:t>万元、</w:t>
      </w:r>
      <w:r>
        <w:rPr>
          <w:rStyle w:val="22"/>
          <w:rFonts w:hint="eastAsia" w:hAnsi="仿宋" w:eastAsia="仿宋_GB2312"/>
          <w:lang w:val="en-US" w:eastAsia="zh-CN"/>
        </w:rPr>
        <w:t>卫生健康</w:t>
      </w:r>
      <w:r>
        <w:rPr>
          <w:rStyle w:val="22"/>
          <w:rFonts w:hint="default" w:hAnsi="仿宋"/>
        </w:rPr>
        <w:t>支出</w:t>
      </w:r>
      <w:r>
        <w:rPr>
          <w:rStyle w:val="23"/>
          <w:rFonts w:hint="eastAsia" w:ascii="仿宋_GB2312" w:hAnsi="仿宋" w:eastAsia="仿宋_GB2312"/>
          <w:lang w:val="en-US" w:eastAsia="zh-CN"/>
        </w:rPr>
        <w:t>13.78</w:t>
      </w:r>
      <w:r>
        <w:rPr>
          <w:rStyle w:val="22"/>
          <w:rFonts w:hint="default" w:hAnsi="仿宋"/>
        </w:rPr>
        <w:t>万元、</w:t>
      </w:r>
      <w:r>
        <w:rPr>
          <w:rStyle w:val="22"/>
          <w:rFonts w:hint="eastAsia" w:hAnsi="仿宋" w:eastAsia="仿宋_GB2312"/>
          <w:lang w:val="en-US" w:eastAsia="zh-CN"/>
        </w:rPr>
        <w:t>住房保障支出</w:t>
      </w:r>
      <w:r>
        <w:rPr>
          <w:rStyle w:val="22"/>
          <w:rFonts w:hint="default" w:hAnsi="仿宋"/>
        </w:rPr>
        <w:t>支出</w:t>
      </w:r>
      <w:r>
        <w:rPr>
          <w:rStyle w:val="23"/>
          <w:rFonts w:hint="eastAsia" w:ascii="仿宋_GB2312" w:hAnsi="仿宋" w:eastAsia="仿宋_GB2312"/>
          <w:lang w:val="en-US" w:eastAsia="zh-CN"/>
        </w:rPr>
        <w:t>20.74</w:t>
      </w:r>
      <w:r>
        <w:rPr>
          <w:rStyle w:val="22"/>
          <w:rFonts w:hint="default" w:hAnsi="仿宋"/>
        </w:rPr>
        <w:t>万元。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F6C4F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bookmarkStart w:id="0" w:name="_GoBack"/>
      <w:bookmarkEnd w:id="0"/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66.67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拟召开的会议减少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202.76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4.65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2.24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项目支出减少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619.72</w:t>
      </w:r>
      <w:r>
        <w:rPr>
          <w:rFonts w:hint="eastAsia" w:ascii="仿宋_GB2312" w:hAnsi="仿宋" w:eastAsia="仿宋_GB2312"/>
          <w:sz w:val="32"/>
          <w:szCs w:val="32"/>
        </w:rPr>
        <w:t>平方米，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为县委整体办公用房</w:t>
      </w:r>
      <w:r>
        <w:rPr>
          <w:rFonts w:hint="eastAsia" w:ascii="仿宋_GB2312" w:hAnsi="仿宋" w:eastAsia="仿宋_GB2312"/>
          <w:sz w:val="32"/>
          <w:szCs w:val="32"/>
        </w:rPr>
        <w:t>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517EEE3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项目名称：宣传思想精神文明建设工作专项经费</w:t>
      </w:r>
    </w:p>
    <w:p w14:paraId="3208073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1、项目概况：主要用于202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年思想政治、国防教育、精神文明建设、未成年思想道德建设、农村精神文明建设等工作。</w:t>
      </w:r>
    </w:p>
    <w:p w14:paraId="1012FC0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 根据《关于进一步加强和改进县区宣传部经费保障工作的意见》（市委宣发〔2011〕15号）、《关于进一步加强和改进县区宣传部经费保障工作的意见》（甘宣发〔2010〕21号）、《全国文明单位测评细则》文件要求，进一步加大对宣传思想精神文明建设的投入。</w:t>
      </w:r>
    </w:p>
    <w:p w14:paraId="418E5B6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" w:eastAsia="仿宋_GB2312"/>
          <w:sz w:val="32"/>
          <w:szCs w:val="32"/>
        </w:rPr>
        <w:t>华池县委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员会</w:t>
      </w:r>
      <w:r>
        <w:rPr>
          <w:rFonts w:hint="eastAsia" w:ascii="仿宋_GB2312" w:hAnsi="仿宋" w:eastAsia="仿宋_GB2312"/>
          <w:sz w:val="32"/>
          <w:szCs w:val="32"/>
        </w:rPr>
        <w:t>宣传部</w:t>
      </w:r>
    </w:p>
    <w:p w14:paraId="4AB689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1年</w:t>
      </w:r>
    </w:p>
    <w:p w14:paraId="5148CAC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5、实施计划：全年开展文化活动标准合格率达到100%，组织宣传活动次数至少100场次</w:t>
      </w:r>
    </w:p>
    <w:p w14:paraId="7B870A6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50万元</w:t>
      </w:r>
    </w:p>
    <w:p w14:paraId="2DE7024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全年群众文化品位提升效果明显，区域覆盖率达到85%，群众的综合素质得到进一步提升，引导广大群众树立正确的社会价值导向和行为标杆,营造“知荣辱、树新风、讲诚信、促和谐”的社会新风尚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603977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个，占本部门项目的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7C7764F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%。绩效自评结果随部门决算报送财政和随决算公开情况：根据年初设定的绩效目标，绩效自评得分为9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1.6</w:t>
      </w:r>
      <w:r>
        <w:rPr>
          <w:rFonts w:hint="eastAsia" w:ascii="仿宋_GB2312" w:hAnsi="仿宋" w:eastAsia="仿宋_GB2312"/>
          <w:sz w:val="32"/>
          <w:szCs w:val="32"/>
        </w:rPr>
        <w:t>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个；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宣传思想精神文明建设工作专项经费</w:t>
      </w:r>
      <w:r>
        <w:rPr>
          <w:rFonts w:hint="eastAsia" w:ascii="仿宋_GB2312" w:hAnsi="仿宋" w:eastAsia="仿宋_GB2312"/>
          <w:sz w:val="32"/>
          <w:szCs w:val="32"/>
        </w:rPr>
        <w:t>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社会主义核心价值观宣传项目支出绩效目标围绕成本指标、产出指标、效益指标、满意度指标四个维度，设置二级指标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网络舆情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和网络安全</w:t>
      </w:r>
      <w:r>
        <w:rPr>
          <w:rFonts w:hint="eastAsia" w:ascii="仿宋_GB2312" w:hAnsi="仿宋" w:eastAsia="仿宋_GB2312"/>
          <w:sz w:val="32"/>
          <w:szCs w:val="32"/>
        </w:rPr>
        <w:t>监测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预警</w:t>
      </w:r>
      <w:r>
        <w:rPr>
          <w:rFonts w:hint="eastAsia" w:ascii="仿宋_GB2312" w:hAnsi="仿宋" w:eastAsia="仿宋_GB2312"/>
          <w:sz w:val="32"/>
          <w:szCs w:val="32"/>
        </w:rPr>
        <w:t>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新时代文明实践中心建设项目支出绩效目标围绕成本指标、产出指标、效益指标、满意度指标四个维度，设置二级指标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；新时代文明实践云平台经费</w:t>
      </w:r>
      <w:r>
        <w:rPr>
          <w:rFonts w:hint="eastAsia" w:ascii="仿宋_GB2312" w:hAnsi="仿宋" w:eastAsia="仿宋_GB2312"/>
          <w:sz w:val="32"/>
          <w:szCs w:val="32"/>
        </w:rPr>
        <w:t>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；华池县媒体综合信息服务合作项目</w:t>
      </w:r>
      <w:r>
        <w:rPr>
          <w:rFonts w:hint="eastAsia" w:ascii="仿宋_GB2312" w:hAnsi="仿宋" w:eastAsia="仿宋_GB2312"/>
          <w:sz w:val="32"/>
          <w:szCs w:val="32"/>
        </w:rPr>
        <w:t>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哲学社会科学专项经费</w:t>
      </w:r>
      <w:r>
        <w:rPr>
          <w:rFonts w:hint="eastAsia" w:ascii="仿宋_GB2312" w:hAnsi="仿宋" w:eastAsia="仿宋_GB2312"/>
          <w:sz w:val="32"/>
          <w:szCs w:val="32"/>
        </w:rPr>
        <w:t>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；农文旅融合发展百千万工程宣传推介工作专项经费</w:t>
      </w:r>
      <w:r>
        <w:rPr>
          <w:rFonts w:hint="eastAsia" w:ascii="仿宋_GB2312" w:hAnsi="仿宋" w:eastAsia="仿宋_GB2312"/>
          <w:sz w:val="32"/>
          <w:szCs w:val="32"/>
        </w:rPr>
        <w:t>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扫黄打非专项经费</w:t>
      </w:r>
      <w:r>
        <w:rPr>
          <w:rFonts w:hint="eastAsia" w:ascii="仿宋_GB2312" w:hAnsi="仿宋" w:eastAsia="仿宋_GB2312"/>
          <w:sz w:val="32"/>
          <w:szCs w:val="32"/>
        </w:rPr>
        <w:t>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0ADAE4F5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 xml:space="preserve">                                                 中共华池县委宣传部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中共华池县委宣传部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中共华池县委宣传部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6"/>
      <w:jc w:val="center"/>
    </w:pPr>
  </w:p>
  <w:p w14:paraId="18AFAB9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70C2E81"/>
    <w:rsid w:val="18330BA7"/>
    <w:rsid w:val="1D34261E"/>
    <w:rsid w:val="33F63B29"/>
    <w:rsid w:val="3A1C6164"/>
    <w:rsid w:val="3E534551"/>
    <w:rsid w:val="42A05423"/>
    <w:rsid w:val="4C433C79"/>
    <w:rsid w:val="527E074E"/>
    <w:rsid w:val="56393C72"/>
    <w:rsid w:val="579503FF"/>
    <w:rsid w:val="60535296"/>
    <w:rsid w:val="72FD2525"/>
    <w:rsid w:val="78106856"/>
    <w:rsid w:val="789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/>
      <w:sz w:val="32"/>
    </w:r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2">
    <w:name w:val="line number"/>
    <w:autoRedefine/>
    <w:qFormat/>
    <w:uiPriority w:val="0"/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Char"/>
    <w:link w:val="6"/>
    <w:qFormat/>
    <w:uiPriority w:val="0"/>
    <w:rPr>
      <w:sz w:val="18"/>
      <w:szCs w:val="18"/>
    </w:rPr>
  </w:style>
  <w:style w:type="character" w:customStyle="1" w:styleId="15">
    <w:name w:val="页眉 Char"/>
    <w:link w:val="7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3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0">
    <w:name w:val="批注文字 Char"/>
    <w:link w:val="4"/>
    <w:qFormat/>
    <w:uiPriority w:val="0"/>
    <w:rPr>
      <w:kern w:val="2"/>
      <w:sz w:val="21"/>
      <w:szCs w:val="22"/>
    </w:rPr>
  </w:style>
  <w:style w:type="character" w:customStyle="1" w:styleId="21">
    <w:name w:val="批注主题 Char"/>
    <w:link w:val="9"/>
    <w:qFormat/>
    <w:uiPriority w:val="0"/>
    <w:rPr>
      <w:b/>
      <w:bCs/>
      <w:kern w:val="2"/>
      <w:sz w:val="21"/>
      <w:szCs w:val="22"/>
    </w:rPr>
  </w:style>
  <w:style w:type="character" w:customStyle="1" w:styleId="22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5062</Words>
  <Characters>5373</Characters>
  <Lines>68</Lines>
  <Paragraphs>19</Paragraphs>
  <TotalTime>28</TotalTime>
  <ScaleCrop>false</ScaleCrop>
  <LinksUpToDate>false</LinksUpToDate>
  <CharactersWithSpaces>5483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LuoJingJing</cp:lastModifiedBy>
  <cp:lastPrinted>2025-02-12T02:35:00Z</cp:lastPrinted>
  <dcterms:modified xsi:type="dcterms:W3CDTF">2025-02-12T09:31:28Z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15CF2C20988F4BD589C4120D4406011A_13</vt:lpwstr>
  </property>
  <property fmtid="{D5CDD505-2E9C-101B-9397-08002B2CF9AE}" pid="4" name="KSOTemplateDocerSaveRecord">
    <vt:lpwstr>eyJoZGlkIjoiYjk5ODM0YmMxOWJiYWQyNDU4MGIzYWRmYTA0ZmI5NDciLCJ1c2VySWQiOiI5NTYxNzI1NTMifQ==</vt:lpwstr>
  </property>
</Properties>
</file>