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15A02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476047E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5503C4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7F6C71A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南梁红色大景区管理委员会</w:t>
      </w:r>
    </w:p>
    <w:p w14:paraId="44F3A08E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年部门预算公开情况说明 </w:t>
      </w:r>
    </w:p>
    <w:p w14:paraId="31AC762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5BEE7523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C77D983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10DED094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3C18E25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530FCA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58C9EB2E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1416D5A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2E735F5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2227E1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317BC5C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6343DE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4041C27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C9A2B6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4EE7F9B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1A52083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0B9A1DB0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1BDD0DC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65B3A98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17E7D3C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390BFDE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054C9A6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7C4AFF5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01191D8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7F0B6D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103E1D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6DAAC1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6C6724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07D20E9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14A41A7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DDE2EAE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7DCC0554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50A632C2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355DF139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5DC47652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35738549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贯彻执行国家、省、市旅游产业发展政策法规；承担大景区统一规划、依法保护、统筹资源、高效决策，统一标准、综合执法职能；负责大景区范围内的旅游产业发展、招商引资工作；承办县委、县政府和上级主管部门交办的其他事项。</w:t>
      </w:r>
    </w:p>
    <w:p w14:paraId="3BE93C6F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41A5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南梁红色大景区管理委员会下设办公室、规划建设科、旅游管理科、对外合作科、抗大七分校管理所、军民大生产管理所、南梁景区文物保护研究所7个正科级机构，核定全额拨款事业编制20名（其中正处级主任1名、副处级副主任2名、五级职员2名、正科7名、副科5名、一般干部3名）。</w:t>
      </w:r>
    </w:p>
    <w:p w14:paraId="2A391DBC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0085B4CD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1A1CBE5A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1483.7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4B1C19B2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2DD9C8B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1483.7</w:t>
      </w:r>
      <w:r>
        <w:rPr>
          <w:rFonts w:hint="eastAsia" w:ascii="仿宋_GB2312" w:hAnsi="仿宋" w:eastAsia="仿宋_GB2312"/>
          <w:sz w:val="32"/>
          <w:szCs w:val="32"/>
        </w:rPr>
        <w:t>万元（详见部门预算公开表1,2）。包括：</w:t>
      </w:r>
    </w:p>
    <w:p w14:paraId="28F14D9E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1483.7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03D3E81E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F4B0E93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D1FD84F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439EA4F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1AC2F08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1483.7</w:t>
      </w:r>
      <w:r>
        <w:rPr>
          <w:rFonts w:hint="eastAsia" w:ascii="仿宋_GB2312" w:hAnsi="仿宋" w:eastAsia="仿宋_GB2312"/>
          <w:sz w:val="32"/>
          <w:szCs w:val="32"/>
        </w:rPr>
        <w:t>万元（详见部门预算公开表3）。</w:t>
      </w:r>
      <w:r>
        <w:rPr>
          <w:rStyle w:val="22"/>
          <w:rFonts w:hint="default" w:hAnsi="仿宋"/>
        </w:rPr>
        <w:t>其中：基本支出</w:t>
      </w:r>
      <w:r>
        <w:rPr>
          <w:rStyle w:val="23"/>
          <w:rFonts w:hint="eastAsia" w:ascii="仿宋_GB2312" w:hAnsi="仿宋" w:eastAsia="仿宋_GB2312"/>
          <w:lang w:val="en-US" w:eastAsia="zh-CN"/>
        </w:rPr>
        <w:t>484.62</w:t>
      </w:r>
      <w:r>
        <w:rPr>
          <w:rStyle w:val="22"/>
          <w:rFonts w:hint="default" w:hAnsi="仿宋"/>
        </w:rPr>
        <w:t>万元， 占</w:t>
      </w:r>
      <w:r>
        <w:rPr>
          <w:rStyle w:val="22"/>
          <w:rFonts w:hint="eastAsia" w:hAnsi="仿宋" w:eastAsia="仿宋_GB2312"/>
          <w:lang w:val="en-US" w:eastAsia="zh-CN"/>
        </w:rPr>
        <w:t>32.66</w:t>
      </w:r>
      <w:r>
        <w:rPr>
          <w:rStyle w:val="23"/>
          <w:rFonts w:hint="eastAsia" w:ascii="仿宋_GB2312" w:hAnsi="仿宋" w:eastAsia="仿宋_GB2312"/>
        </w:rPr>
        <w:t>%</w:t>
      </w:r>
      <w:r>
        <w:rPr>
          <w:rStyle w:val="22"/>
          <w:rFonts w:hint="default" w:hAnsi="仿宋"/>
        </w:rPr>
        <w:t>； 项目支出</w:t>
      </w:r>
      <w:r>
        <w:rPr>
          <w:rStyle w:val="22"/>
          <w:rFonts w:hint="eastAsia" w:hAnsi="仿宋" w:eastAsia="仿宋_GB2312"/>
          <w:lang w:val="en-US" w:eastAsia="zh-CN"/>
        </w:rPr>
        <w:t>999.08</w:t>
      </w:r>
      <w:r>
        <w:rPr>
          <w:rStyle w:val="22"/>
          <w:rFonts w:hint="default" w:hAnsi="仿宋"/>
        </w:rPr>
        <w:t>万元，占</w:t>
      </w:r>
      <w:r>
        <w:rPr>
          <w:rStyle w:val="23"/>
          <w:rFonts w:hint="eastAsia" w:ascii="仿宋_GB2312" w:hAnsi="仿宋" w:eastAsia="仿宋_GB2312"/>
          <w:lang w:val="en-US" w:eastAsia="zh-CN"/>
        </w:rPr>
        <w:t>67.34</w:t>
      </w:r>
      <w:r>
        <w:rPr>
          <w:rStyle w:val="23"/>
          <w:rFonts w:hint="eastAsia" w:ascii="仿宋_GB2312" w:hAnsi="仿宋" w:eastAsia="仿宋_GB2312"/>
        </w:rPr>
        <w:t>%</w:t>
      </w:r>
      <w:r>
        <w:rPr>
          <w:rStyle w:val="22"/>
          <w:rFonts w:hint="default" w:hAnsi="仿宋"/>
        </w:rPr>
        <w:t>。</w:t>
      </w:r>
    </w:p>
    <w:p w14:paraId="2E4BA616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4A327B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3"/>
          <w:rFonts w:hint="eastAsia" w:ascii="仿宋_GB2312" w:hAnsi="仿宋" w:eastAsia="仿宋_GB2312"/>
          <w:lang w:eastAsia="zh-CN"/>
        </w:rPr>
        <w:t>2025</w:t>
      </w:r>
      <w:r>
        <w:rPr>
          <w:rStyle w:val="22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1483.7</w:t>
      </w:r>
      <w:r>
        <w:rPr>
          <w:rStyle w:val="22"/>
          <w:rFonts w:hint="default" w:hAnsi="仿宋"/>
        </w:rPr>
        <w:t>万元，包括：</w:t>
      </w:r>
      <w:r>
        <w:rPr>
          <w:rStyle w:val="22"/>
          <w:rFonts w:hint="eastAsia" w:hAnsi="仿宋" w:eastAsia="仿宋_GB2312"/>
          <w:lang w:eastAsia="zh-CN"/>
        </w:rPr>
        <w:t>文化旅游体育与传媒</w:t>
      </w:r>
      <w:r>
        <w:rPr>
          <w:rStyle w:val="22"/>
          <w:rFonts w:hint="default" w:hAnsi="仿宋"/>
        </w:rPr>
        <w:t>支出</w:t>
      </w:r>
      <w:r>
        <w:rPr>
          <w:rStyle w:val="23"/>
          <w:rFonts w:hint="eastAsia" w:ascii="仿宋_GB2312" w:hAnsi="仿宋" w:eastAsia="仿宋_GB2312"/>
          <w:lang w:val="en-US" w:eastAsia="zh-CN"/>
        </w:rPr>
        <w:t>1363.39</w:t>
      </w:r>
      <w:r>
        <w:rPr>
          <w:rStyle w:val="22"/>
          <w:rFonts w:hint="default" w:hAnsi="仿宋"/>
        </w:rPr>
        <w:t>万元、</w:t>
      </w:r>
      <w:r>
        <w:rPr>
          <w:rStyle w:val="22"/>
          <w:rFonts w:hint="eastAsia" w:hAnsi="仿宋" w:eastAsia="仿宋_GB2312"/>
          <w:lang w:eastAsia="zh-CN"/>
        </w:rPr>
        <w:t>社会保障和就业支出</w:t>
      </w:r>
      <w:r>
        <w:rPr>
          <w:rStyle w:val="22"/>
          <w:rFonts w:hint="eastAsia" w:hAnsi="仿宋" w:eastAsia="仿宋_GB2312"/>
          <w:lang w:val="en-US" w:eastAsia="zh-CN"/>
        </w:rPr>
        <w:t>69.05万元</w:t>
      </w:r>
      <w:r>
        <w:rPr>
          <w:rStyle w:val="22"/>
          <w:rFonts w:hint="default" w:hAnsi="仿宋"/>
        </w:rPr>
        <w:t>、</w:t>
      </w:r>
      <w:r>
        <w:rPr>
          <w:rStyle w:val="22"/>
          <w:rFonts w:hint="eastAsia" w:hAnsi="仿宋" w:eastAsia="仿宋_GB2312"/>
          <w:lang w:eastAsia="zh-CN"/>
        </w:rPr>
        <w:t>卫生健康支出</w:t>
      </w:r>
      <w:r>
        <w:rPr>
          <w:rStyle w:val="22"/>
          <w:rFonts w:hint="eastAsia" w:hAnsi="仿宋" w:eastAsia="仿宋_GB2312"/>
          <w:lang w:val="en-US" w:eastAsia="zh-CN"/>
        </w:rPr>
        <w:t>20.05</w:t>
      </w:r>
      <w:r>
        <w:rPr>
          <w:rStyle w:val="22"/>
          <w:rFonts w:hint="default" w:hAnsi="仿宋"/>
        </w:rPr>
        <w:t>万元、</w:t>
      </w:r>
      <w:r>
        <w:rPr>
          <w:rStyle w:val="22"/>
          <w:rFonts w:hint="eastAsia" w:hAnsi="仿宋" w:eastAsia="仿宋_GB2312"/>
          <w:lang w:eastAsia="zh-CN"/>
        </w:rPr>
        <w:t>住房保障支出</w:t>
      </w:r>
      <w:r>
        <w:rPr>
          <w:rStyle w:val="22"/>
          <w:rFonts w:hint="eastAsia" w:hAnsi="仿宋" w:eastAsia="仿宋_GB2312"/>
          <w:lang w:val="en-US" w:eastAsia="zh-CN"/>
        </w:rPr>
        <w:t>31.22</w:t>
      </w:r>
      <w:r>
        <w:rPr>
          <w:rStyle w:val="22"/>
          <w:rFonts w:hint="default" w:hAnsi="仿宋"/>
        </w:rPr>
        <w:t>万元。。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2457516F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31B73BB2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484.62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33.45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6.9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人员及工资福利支出增加。</w:t>
      </w:r>
    </w:p>
    <w:p w14:paraId="0C0B183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417.87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万元，主要包括：基本工资、津贴补贴、奖金、机关事业单位基本养老保险缴费、职业年金缴费、职工基本医疗保险缴费、医疗补助缴费、其他社会保障缴费、住房公积金、其他对个人和家庭的补助等。</w:t>
      </w:r>
    </w:p>
    <w:p w14:paraId="7F3D336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66.75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万元，主要包括：办公费、印刷费、手续费、邮电费、取暖费、差旅费、会议费、公务接待费、工会经费、福利费、其他交通费用、其他商品和服务支出等。</w:t>
      </w:r>
    </w:p>
    <w:p w14:paraId="35B027C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0AD1295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999.08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2025年预算项目增加。</w:t>
      </w:r>
    </w:p>
    <w:p w14:paraId="6973ADFA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南梁大景区创建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5A级旅游景区项目</w:t>
      </w:r>
      <w:r>
        <w:rPr>
          <w:rFonts w:hint="eastAsia" w:ascii="仿宋_GB2312" w:hAnsi="仿宋" w:eastAsia="仿宋_GB2312"/>
          <w:sz w:val="32"/>
          <w:szCs w:val="32"/>
        </w:rPr>
        <w:t>。保障运转经费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个，主要是项目1、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南梁景区保安工资；</w:t>
      </w:r>
      <w:r>
        <w:rPr>
          <w:rFonts w:hint="eastAsia" w:ascii="仿宋_GB2312" w:hAnsi="仿宋" w:eastAsia="仿宋_GB2312"/>
          <w:sz w:val="32"/>
          <w:szCs w:val="32"/>
        </w:rPr>
        <w:t>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、南梁管委会临聘人员工资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FDE724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08682FE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文化旅游体育与传媒支出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1363.39万元，</w:t>
      </w:r>
      <w:r>
        <w:rPr>
          <w:rFonts w:hint="eastAsia" w:ascii="仿宋_GB2312" w:hAnsi="仿宋" w:eastAsia="仿宋_GB2312"/>
          <w:sz w:val="32"/>
          <w:szCs w:val="32"/>
        </w:rPr>
        <w:t>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增加479.38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增长的主要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原因是预算项目增加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。2.社会保障和就业支出69.05万元，</w:t>
      </w:r>
      <w:r>
        <w:rPr>
          <w:rFonts w:hint="eastAsia" w:ascii="仿宋_GB2312" w:hAnsi="仿宋" w:eastAsia="仿宋_GB2312"/>
          <w:sz w:val="32"/>
          <w:szCs w:val="32"/>
        </w:rPr>
        <w:t>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增加9.99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sz w:val="32"/>
          <w:szCs w:val="32"/>
        </w:rPr>
        <w:t>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。3.卫生健康支出20.05万元，</w:t>
      </w:r>
      <w:r>
        <w:rPr>
          <w:rFonts w:hint="eastAsia" w:ascii="仿宋_GB2312" w:hAnsi="仿宋" w:eastAsia="仿宋_GB2312"/>
          <w:sz w:val="32"/>
          <w:szCs w:val="32"/>
        </w:rPr>
        <w:t>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增加1.11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。4.住房保障支出31.22万元，</w:t>
      </w:r>
      <w:r>
        <w:rPr>
          <w:rFonts w:hint="eastAsia" w:ascii="仿宋_GB2312" w:hAnsi="仿宋" w:eastAsia="仿宋_GB2312"/>
          <w:sz w:val="32"/>
          <w:szCs w:val="32"/>
        </w:rPr>
        <w:t>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增加2.98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sz w:val="32"/>
          <w:szCs w:val="32"/>
        </w:rPr>
        <w:t>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。</w:t>
      </w:r>
    </w:p>
    <w:p w14:paraId="2F0F0B23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286791D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37CF9533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0.26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0.02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313290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45F42F5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0.28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0.02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2024年公务接待费用压减6%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79CFF7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6A47CB3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636AB76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1F3D760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41538FD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3ABF2AB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751CD9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15.6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0.6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DF0C59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3DBFBBF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48.99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10.99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43.68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340D38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年，部门（单位）面向中小企业预留政府采购项目预算金额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15AB461A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026BAB3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2927.14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164.5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2566.61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587.70</w:t>
      </w:r>
      <w:r>
        <w:rPr>
          <w:rFonts w:hint="eastAsia" w:ascii="仿宋_GB2312" w:hAnsi="仿宋" w:eastAsia="仿宋_GB2312"/>
          <w:sz w:val="32"/>
          <w:szCs w:val="32"/>
        </w:rPr>
        <w:t>万元。202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305CF089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7808C76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7633CC0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年未安排预算，政府性基金预算支出情况表为空表。</w:t>
      </w:r>
    </w:p>
    <w:p w14:paraId="06F6882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3ACC6D4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3E7FB34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171FC7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1E8EB54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481AB0B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21930AF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20B588F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  <w:lang w:eastAsia="zh-CN"/>
        </w:rPr>
        <w:t>本单位</w:t>
      </w: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2303F7CD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1AC21F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26F2F41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2F2AB40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597D0E9C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财政资金困难拨付不及时但项目均完成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39B4125D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及时报送并公开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85B1795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个，增长率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082D4A1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0268610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DA992B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4AB5FCC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2736351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6358781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62B6EF3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2998B3E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21BB8F53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521D3F2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59D8BE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7798EA1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……</w:t>
      </w:r>
    </w:p>
    <w:p w14:paraId="15E4877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D69678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（请部门/单位对编制中涉及的专业名词进行补充解释）</w:t>
      </w:r>
    </w:p>
    <w:p w14:paraId="155D1ED6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63F19E3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1C2829C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南梁红色大景区管理委员会</w:t>
      </w:r>
    </w:p>
    <w:p w14:paraId="61BADCA7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49CEB236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p w14:paraId="60C96D6C">
      <w:pPr>
        <w:pStyle w:val="2"/>
      </w:pPr>
    </w:p>
    <w:p w14:paraId="04ABDBF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南梁红色大景区管理委员会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BF29CC2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南梁红色大景区管理委员会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68595FB7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B2EFD">
    <w:pPr>
      <w:pStyle w:val="7"/>
      <w:jc w:val="center"/>
    </w:pPr>
  </w:p>
  <w:p w14:paraId="1B085143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B07FA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617D24E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NDZjODc3MGE3NmFjMjM1YjRhNWYzMWJlNzI1ZTc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96707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87932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3623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136732D"/>
    <w:rsid w:val="01415CD2"/>
    <w:rsid w:val="01610122"/>
    <w:rsid w:val="02E03DF9"/>
    <w:rsid w:val="05EF3F4F"/>
    <w:rsid w:val="064128FE"/>
    <w:rsid w:val="08031F33"/>
    <w:rsid w:val="08F17FDE"/>
    <w:rsid w:val="0A014251"/>
    <w:rsid w:val="0A1E4E03"/>
    <w:rsid w:val="0A1F399C"/>
    <w:rsid w:val="0C542D5E"/>
    <w:rsid w:val="0C970E9C"/>
    <w:rsid w:val="0D2E35AF"/>
    <w:rsid w:val="0D8256A8"/>
    <w:rsid w:val="0EE26D46"/>
    <w:rsid w:val="0F955B67"/>
    <w:rsid w:val="0FF02D9D"/>
    <w:rsid w:val="10D206F5"/>
    <w:rsid w:val="11140D0D"/>
    <w:rsid w:val="113741D2"/>
    <w:rsid w:val="11823EC9"/>
    <w:rsid w:val="126B2BAF"/>
    <w:rsid w:val="13286CF2"/>
    <w:rsid w:val="13427DB4"/>
    <w:rsid w:val="14511540"/>
    <w:rsid w:val="14D507B4"/>
    <w:rsid w:val="15633573"/>
    <w:rsid w:val="15B605E5"/>
    <w:rsid w:val="16493207"/>
    <w:rsid w:val="175C6F6A"/>
    <w:rsid w:val="18330BA7"/>
    <w:rsid w:val="1A4C2D2B"/>
    <w:rsid w:val="1C5F3784"/>
    <w:rsid w:val="1CDA2E0B"/>
    <w:rsid w:val="1D047E88"/>
    <w:rsid w:val="1D34261E"/>
    <w:rsid w:val="1D990F18"/>
    <w:rsid w:val="1DB95116"/>
    <w:rsid w:val="1E5F5CBE"/>
    <w:rsid w:val="1ED8781E"/>
    <w:rsid w:val="1F1620F4"/>
    <w:rsid w:val="1F7312F5"/>
    <w:rsid w:val="20210D51"/>
    <w:rsid w:val="210466A8"/>
    <w:rsid w:val="215238B8"/>
    <w:rsid w:val="21A90A0D"/>
    <w:rsid w:val="21F04E7F"/>
    <w:rsid w:val="246B6A3F"/>
    <w:rsid w:val="247D50F0"/>
    <w:rsid w:val="2650617A"/>
    <w:rsid w:val="26B66402"/>
    <w:rsid w:val="2B2160A9"/>
    <w:rsid w:val="2C567FD4"/>
    <w:rsid w:val="2E89643F"/>
    <w:rsid w:val="2EAB4607"/>
    <w:rsid w:val="2F61116A"/>
    <w:rsid w:val="2F7B222C"/>
    <w:rsid w:val="2F8E7417"/>
    <w:rsid w:val="3011493E"/>
    <w:rsid w:val="30185CCC"/>
    <w:rsid w:val="30917D53"/>
    <w:rsid w:val="311346E6"/>
    <w:rsid w:val="32676A97"/>
    <w:rsid w:val="33423060"/>
    <w:rsid w:val="3369683F"/>
    <w:rsid w:val="33B65F28"/>
    <w:rsid w:val="33F97BC3"/>
    <w:rsid w:val="35020CF9"/>
    <w:rsid w:val="36883480"/>
    <w:rsid w:val="376E2676"/>
    <w:rsid w:val="37B207B5"/>
    <w:rsid w:val="37FA215C"/>
    <w:rsid w:val="385555E4"/>
    <w:rsid w:val="38CC7F9C"/>
    <w:rsid w:val="38DF7CCF"/>
    <w:rsid w:val="38F17A02"/>
    <w:rsid w:val="390A63CE"/>
    <w:rsid w:val="39981C2C"/>
    <w:rsid w:val="3A6B10EF"/>
    <w:rsid w:val="3A86417A"/>
    <w:rsid w:val="3A900B55"/>
    <w:rsid w:val="3AF318A8"/>
    <w:rsid w:val="3B0A0908"/>
    <w:rsid w:val="3B1F2605"/>
    <w:rsid w:val="3B842468"/>
    <w:rsid w:val="3CD218F9"/>
    <w:rsid w:val="41CF6407"/>
    <w:rsid w:val="421637D4"/>
    <w:rsid w:val="42223EDA"/>
    <w:rsid w:val="42976F25"/>
    <w:rsid w:val="42A05423"/>
    <w:rsid w:val="42E859D2"/>
    <w:rsid w:val="441427F7"/>
    <w:rsid w:val="45815C6A"/>
    <w:rsid w:val="4594599D"/>
    <w:rsid w:val="45D67D64"/>
    <w:rsid w:val="47486A40"/>
    <w:rsid w:val="474D4056"/>
    <w:rsid w:val="47C84024"/>
    <w:rsid w:val="49470F79"/>
    <w:rsid w:val="4B917922"/>
    <w:rsid w:val="4C433C79"/>
    <w:rsid w:val="4C885B30"/>
    <w:rsid w:val="4DE60D60"/>
    <w:rsid w:val="4DEB281B"/>
    <w:rsid w:val="4E86609F"/>
    <w:rsid w:val="4E964534"/>
    <w:rsid w:val="4FC450D1"/>
    <w:rsid w:val="502C04AF"/>
    <w:rsid w:val="50C57353"/>
    <w:rsid w:val="51A927D1"/>
    <w:rsid w:val="527E074E"/>
    <w:rsid w:val="53373E0C"/>
    <w:rsid w:val="536A41E2"/>
    <w:rsid w:val="53EE6BC1"/>
    <w:rsid w:val="541A1764"/>
    <w:rsid w:val="55E4027B"/>
    <w:rsid w:val="56393C72"/>
    <w:rsid w:val="579503FF"/>
    <w:rsid w:val="57E24C8E"/>
    <w:rsid w:val="5866766D"/>
    <w:rsid w:val="586C6306"/>
    <w:rsid w:val="58B8154B"/>
    <w:rsid w:val="59376AAD"/>
    <w:rsid w:val="599E4BE5"/>
    <w:rsid w:val="59F20A8D"/>
    <w:rsid w:val="5B8A71CF"/>
    <w:rsid w:val="5C180C7F"/>
    <w:rsid w:val="5C8C6F77"/>
    <w:rsid w:val="5D4810F0"/>
    <w:rsid w:val="5F217E4A"/>
    <w:rsid w:val="5F9920D6"/>
    <w:rsid w:val="5FCF78A6"/>
    <w:rsid w:val="5FD41360"/>
    <w:rsid w:val="60535296"/>
    <w:rsid w:val="60CE7B5E"/>
    <w:rsid w:val="6155027F"/>
    <w:rsid w:val="61903065"/>
    <w:rsid w:val="62791D4B"/>
    <w:rsid w:val="62886432"/>
    <w:rsid w:val="63422A85"/>
    <w:rsid w:val="63534C92"/>
    <w:rsid w:val="64610CE9"/>
    <w:rsid w:val="65A45331"/>
    <w:rsid w:val="65DF0A5F"/>
    <w:rsid w:val="66D439F4"/>
    <w:rsid w:val="679E7D47"/>
    <w:rsid w:val="68594AF9"/>
    <w:rsid w:val="6A687275"/>
    <w:rsid w:val="6A935974"/>
    <w:rsid w:val="6AF91C7B"/>
    <w:rsid w:val="6B96571C"/>
    <w:rsid w:val="6BDA5F51"/>
    <w:rsid w:val="6BFD579B"/>
    <w:rsid w:val="6C0F54CE"/>
    <w:rsid w:val="6C450EF0"/>
    <w:rsid w:val="6CCD33BF"/>
    <w:rsid w:val="6D655CEE"/>
    <w:rsid w:val="6D8141AA"/>
    <w:rsid w:val="6D8C327A"/>
    <w:rsid w:val="6DEA61F3"/>
    <w:rsid w:val="6EA2262A"/>
    <w:rsid w:val="6F0D3F47"/>
    <w:rsid w:val="6F2A2D4B"/>
    <w:rsid w:val="702A28D7"/>
    <w:rsid w:val="70657DB3"/>
    <w:rsid w:val="70C8281B"/>
    <w:rsid w:val="71153587"/>
    <w:rsid w:val="71A010A2"/>
    <w:rsid w:val="724203AC"/>
    <w:rsid w:val="72FD2525"/>
    <w:rsid w:val="731B5315"/>
    <w:rsid w:val="73BB0416"/>
    <w:rsid w:val="73EA4857"/>
    <w:rsid w:val="74017DF2"/>
    <w:rsid w:val="74936C9D"/>
    <w:rsid w:val="74D55507"/>
    <w:rsid w:val="7561323F"/>
    <w:rsid w:val="762F0C47"/>
    <w:rsid w:val="765E6DCE"/>
    <w:rsid w:val="7769462C"/>
    <w:rsid w:val="778C3E77"/>
    <w:rsid w:val="77B238DE"/>
    <w:rsid w:val="78106856"/>
    <w:rsid w:val="781F6A99"/>
    <w:rsid w:val="78EF46BD"/>
    <w:rsid w:val="79BB4A28"/>
    <w:rsid w:val="79BF22E2"/>
    <w:rsid w:val="7A2B7977"/>
    <w:rsid w:val="7A8F2E4E"/>
    <w:rsid w:val="7A9E639B"/>
    <w:rsid w:val="7BC02341"/>
    <w:rsid w:val="7C0B180E"/>
    <w:rsid w:val="7DBD4D8A"/>
    <w:rsid w:val="7DF21C4C"/>
    <w:rsid w:val="7EB443DF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nhideWhenUsed="0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toc 5"/>
    <w:basedOn w:val="1"/>
    <w:next w:val="1"/>
    <w:qFormat/>
    <w:uiPriority w:val="0"/>
    <w:pPr>
      <w:spacing w:line="600" w:lineRule="exact"/>
      <w:ind w:left="0" w:leftChars="0" w:firstLine="720" w:firstLineChars="200"/>
    </w:pPr>
    <w:rPr>
      <w:rFonts w:ascii="Calibri" w:hAnsi="Calibri"/>
    </w:r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1"/>
    <w:qFormat/>
    <w:uiPriority w:val="0"/>
    <w:rPr>
      <w:b/>
      <w:bCs/>
    </w:rPr>
  </w:style>
  <w:style w:type="character" w:styleId="12">
    <w:name w:val="line number"/>
    <w:qFormat/>
    <w:uiPriority w:val="0"/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页脚 Char"/>
    <w:link w:val="7"/>
    <w:qFormat/>
    <w:uiPriority w:val="0"/>
    <w:rPr>
      <w:sz w:val="18"/>
      <w:szCs w:val="18"/>
    </w:rPr>
  </w:style>
  <w:style w:type="character" w:customStyle="1" w:styleId="15">
    <w:name w:val="页眉 Char"/>
    <w:link w:val="8"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0"/>
    <w:pPr>
      <w:ind w:firstLine="420" w:firstLineChars="200"/>
    </w:pPr>
  </w:style>
  <w:style w:type="character" w:customStyle="1" w:styleId="17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8">
    <w:name w:val="标题 1 Char"/>
    <w:link w:val="4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9">
    <w:name w:val="TOC Heading"/>
    <w:basedOn w:val="4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0">
    <w:name w:val="批注文字 Char"/>
    <w:link w:val="5"/>
    <w:qFormat/>
    <w:uiPriority w:val="0"/>
    <w:rPr>
      <w:kern w:val="2"/>
      <w:sz w:val="21"/>
      <w:szCs w:val="22"/>
    </w:rPr>
  </w:style>
  <w:style w:type="character" w:customStyle="1" w:styleId="21">
    <w:name w:val="批注主题 Char"/>
    <w:link w:val="9"/>
    <w:qFormat/>
    <w:uiPriority w:val="0"/>
    <w:rPr>
      <w:b/>
      <w:bCs/>
      <w:kern w:val="2"/>
      <w:sz w:val="21"/>
      <w:szCs w:val="22"/>
    </w:rPr>
  </w:style>
  <w:style w:type="character" w:customStyle="1" w:styleId="22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4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5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3908</Words>
  <Characters>4252</Characters>
  <Lines>68</Lines>
  <Paragraphs>19</Paragraphs>
  <TotalTime>1</TotalTime>
  <ScaleCrop>false</ScaleCrop>
  <LinksUpToDate>false</LinksUpToDate>
  <CharactersWithSpaces>4297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2022-02-15T07:45:00Z</cp:lastPrinted>
  <dcterms:modified xsi:type="dcterms:W3CDTF">2025-02-12T09:17:35Z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eyJoZGlkIjoiZDFhMmRhMWE4ZmFmNDgwZGE5NjNkNzRlOTQyZmQwZDUifQ==</vt:lpwstr>
  </property>
</Properties>
</file>