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12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70E69F8"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中国共产党华池县委员会办公室</w:t>
      </w:r>
    </w:p>
    <w:p w14:paraId="75F2E212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年部门/单位预算公开情况说明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  <w:bookmarkStart w:id="0" w:name="_GoBack"/>
      <w:bookmarkEnd w:id="0"/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4EC77FF1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 w14:paraId="7F761621">
      <w:pPr>
        <w:spacing w:before="100" w:beforeLines="0" w:after="100" w:afterLines="0"/>
        <w:ind w:firstLine="640" w:firstLineChars="200"/>
        <w:jc w:val="left"/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zh-CN"/>
        </w:rPr>
        <w:t>（一）负责省委、市委、县委重大决策和重要工作部署贯彻实施情况的督促检查工作。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zh-CN"/>
        </w:rPr>
        <w:br w:type="textWrapping"/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zh-CN"/>
        </w:rPr>
        <w:t>（二）负责县委日常文电的收发处理，县委重要决策和重大工作部署的贯彻落实，县委指示、县委领导批示的督促落实。县委领导同志参加的重大活动的组织安排及协调服务，负责县党代会、县委全委会、县委常委会、书记办公会及县委其他各种会议的组织、服务工作；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zh-CN"/>
        </w:rPr>
        <w:br w:type="textWrapping"/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zh-CN"/>
        </w:rPr>
        <w:t>（三）承担县委、县委办公室文书处理，文件、文稿起草、校对、印制、收发、档案管理和以县委、县委办公室（县档案局、县委机要和保密局、县国家保密局、县国家密码管理局）名义制发文件的审核、把关工作，负责全县党委系统文件、电报、档案管理的业务指导工作。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zh-CN"/>
        </w:rPr>
        <w:br w:type="textWrapping"/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zh-CN"/>
        </w:rPr>
        <w:t>（四）负责党委信息的收集、处理、报送工作，指导全县党委系统信息工作，为县委和上级党委的决策提供服务。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zh-CN"/>
        </w:rPr>
        <w:br w:type="textWrapping"/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zh-CN"/>
        </w:rPr>
        <w:t>（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zh-CN" w:eastAsia="zh-CN"/>
        </w:rPr>
        <w:t>五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zh-CN"/>
        </w:rPr>
        <w:t>）负责全县各部门档案行政管理工作、保密工作、机要密码工作、电子政务内网建设和管理工作。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zh-CN"/>
        </w:rPr>
        <w:br w:type="textWrapping"/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zh-CN"/>
        </w:rPr>
        <w:t>（六）负责县委机关党的建设和工会、妇女、计划生育工作。</w:t>
      </w:r>
    </w:p>
    <w:p w14:paraId="346348ED">
      <w:pPr>
        <w:spacing w:line="600" w:lineRule="exact"/>
        <w:ind w:firstLine="640" w:firstLineChars="200"/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zh-CN"/>
        </w:rPr>
        <w:t>（七）负责县委办公室国有资产管理、工资晋升审核和财务管理；负责县委办公室的车辆管理；负责应由县委办公室承担的接待工作；负责职工的文娱活动和福利服务；负责办公室离退休人员管理和服务工作。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zh-CN"/>
        </w:rPr>
        <w:br w:type="textWrapping"/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zh-CN"/>
        </w:rPr>
        <w:t>（八）负责对档案馆以及其他机关、团体、企事业单位和组织档案工作进行监督检查。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zh-CN"/>
        </w:rPr>
        <w:br w:type="textWrapping"/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zh-CN"/>
        </w:rPr>
        <w:t>（九）完成县委、县政府和上级业务部门交办的其他事项。</w:t>
      </w:r>
    </w:p>
    <w:p w14:paraId="720E48B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77BC1A87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251D5132">
      <w:pPr>
        <w:spacing w:before="100" w:beforeLines="0" w:after="100" w:afterLines="0"/>
        <w:ind w:firstLine="640" w:firstLineChars="2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zh-CN"/>
        </w:rPr>
        <w:t>20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  <w:t>25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zh-CN"/>
        </w:rPr>
        <w:t>年度，我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zh-CN" w:eastAsia="zh-CN"/>
        </w:rPr>
        <w:t>单位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zh-CN"/>
        </w:rPr>
        <w:t>共有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zh-CN" w:eastAsia="zh-CN"/>
        </w:rPr>
        <w:t>编制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  <w:t>35名，其中：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zh-CN"/>
        </w:rPr>
        <w:t>行政编制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  <w:t>20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zh-CN"/>
        </w:rPr>
        <w:t>名，事业编制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  <w:t>9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zh-CN"/>
        </w:rPr>
        <w:t>名，后勤编制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zh-CN"/>
        </w:rPr>
        <w:t>名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zh-CN" w:eastAsia="zh-CN"/>
        </w:rPr>
        <w:t>。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zh-CN"/>
        </w:rPr>
        <w:t>财政供养总人数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  <w:t>45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zh-CN"/>
        </w:rPr>
        <w:t>人，其中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zh-CN" w:eastAsia="zh-CN"/>
        </w:rPr>
        <w:t>：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zh-CN"/>
        </w:rPr>
        <w:t>在职人员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  <w:t>25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zh-CN"/>
        </w:rPr>
        <w:t>人，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zh-CN" w:eastAsia="zh-CN"/>
        </w:rPr>
        <w:t>临时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  <w:t>4人，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zh-CN" w:eastAsia="zh-CN"/>
        </w:rPr>
        <w:t>遗属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zh-CN"/>
        </w:rPr>
        <w:t>人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zh-CN" w:eastAsia="zh-CN"/>
        </w:rPr>
        <w:t>，退休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  <w:t>12人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zh-CN"/>
        </w:rPr>
        <w:t>。</w:t>
      </w:r>
    </w:p>
    <w:p w14:paraId="316EA88B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（二）参照公务员法管理单位</w:t>
      </w:r>
    </w:p>
    <w:p w14:paraId="76DB884D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按编制部门批复“三定”方案编写</w:t>
      </w:r>
    </w:p>
    <w:p w14:paraId="1A18BC42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（三）直属事业单位</w:t>
      </w:r>
    </w:p>
    <w:p w14:paraId="23091B34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按编制部门批复“三定”方案编写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10AF183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1471.68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1471.68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745038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1362.96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92.61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1471.68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0"/>
          <w:rFonts w:hint="default" w:hAnsi="仿宋"/>
        </w:rPr>
        <w:t>其中：基本支出</w:t>
      </w:r>
      <w:r>
        <w:rPr>
          <w:rStyle w:val="21"/>
          <w:rFonts w:hint="eastAsia" w:ascii="仿宋_GB2312" w:hAnsi="仿宋" w:eastAsia="仿宋_GB2312"/>
          <w:lang w:val="en-US" w:eastAsia="zh-CN"/>
        </w:rPr>
        <w:t>971.68</w:t>
      </w:r>
      <w:r>
        <w:rPr>
          <w:rStyle w:val="20"/>
          <w:rFonts w:hint="default" w:hAnsi="仿宋"/>
        </w:rPr>
        <w:t>万元， 占</w:t>
      </w:r>
      <w:r>
        <w:rPr>
          <w:rStyle w:val="20"/>
          <w:rFonts w:hint="eastAsia" w:hAnsi="仿宋" w:eastAsia="仿宋_GB2312"/>
          <w:lang w:val="en-US" w:eastAsia="zh-CN"/>
        </w:rPr>
        <w:t>66.07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 项目支出</w:t>
      </w:r>
      <w:r>
        <w:rPr>
          <w:rStyle w:val="20"/>
          <w:rFonts w:hint="eastAsia" w:hAnsi="仿宋" w:eastAsia="仿宋_GB2312"/>
          <w:lang w:val="en-US" w:eastAsia="zh-CN"/>
        </w:rPr>
        <w:t>500</w:t>
      </w:r>
      <w:r>
        <w:rPr>
          <w:rStyle w:val="20"/>
          <w:rFonts w:hint="default" w:hAnsi="仿宋"/>
        </w:rPr>
        <w:t>万元，占</w:t>
      </w:r>
      <w:r>
        <w:rPr>
          <w:rStyle w:val="21"/>
          <w:rFonts w:hint="eastAsia" w:ascii="仿宋_GB2312" w:hAnsi="仿宋" w:eastAsia="仿宋_GB2312"/>
          <w:lang w:val="en-US" w:eastAsia="zh-CN"/>
        </w:rPr>
        <w:t>33.93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1"/>
          <w:rFonts w:hint="eastAsia" w:ascii="仿宋_GB2312" w:hAnsi="仿宋" w:eastAsia="仿宋_GB2312"/>
          <w:lang w:eastAsia="zh-CN"/>
        </w:rPr>
        <w:t>；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F3C656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" w:eastAsia="仿宋_GB2312"/>
          <w:lang w:eastAsia="zh-CN"/>
        </w:rPr>
        <w:t>2025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0"/>
          <w:rFonts w:hint="default" w:hAnsi="仿宋"/>
        </w:rPr>
        <w:t>年一般公共预算当年支出</w:t>
      </w:r>
      <w:r>
        <w:rPr>
          <w:rStyle w:val="20"/>
          <w:rFonts w:hint="eastAsia" w:hAnsi="仿宋" w:eastAsia="仿宋_GB2312"/>
          <w:lang w:val="en-US" w:eastAsia="zh-CN"/>
        </w:rPr>
        <w:t>1471.68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0"/>
          <w:rFonts w:hint="default" w:hAnsi="仿宋"/>
        </w:rPr>
        <w:t>万元，包括：一般公共服务支出</w:t>
      </w:r>
      <w:r>
        <w:rPr>
          <w:rStyle w:val="21"/>
          <w:rFonts w:hint="eastAsia" w:ascii="仿宋_GB2312" w:hAnsi="仿宋" w:eastAsia="仿宋_GB2312"/>
          <w:lang w:val="en-US" w:eastAsia="zh-CN"/>
        </w:rPr>
        <w:t>1362.96</w:t>
      </w:r>
      <w:r>
        <w:rPr>
          <w:rStyle w:val="20"/>
          <w:rFonts w:hint="default" w:hAnsi="仿宋"/>
        </w:rPr>
        <w:t>万元、社会保障和就业支出</w:t>
      </w:r>
      <w:r>
        <w:rPr>
          <w:rStyle w:val="20"/>
          <w:rFonts w:hint="eastAsia" w:hAnsi="仿宋" w:eastAsia="仿宋_GB2312"/>
          <w:lang w:val="en-US" w:eastAsia="zh-CN"/>
        </w:rPr>
        <w:t>62.79万元、卫生健康支出</w:t>
      </w:r>
      <w:r>
        <w:rPr>
          <w:rStyle w:val="21"/>
          <w:rFonts w:hint="eastAsia" w:ascii="仿宋_GB2312" w:hAnsi="仿宋" w:eastAsia="仿宋_GB2312"/>
          <w:lang w:val="en-US" w:eastAsia="zh-CN"/>
        </w:rPr>
        <w:t>19.02</w:t>
      </w:r>
      <w:r>
        <w:rPr>
          <w:rStyle w:val="20"/>
          <w:rFonts w:hint="default" w:hAnsi="仿宋"/>
        </w:rPr>
        <w:t>万元、</w:t>
      </w:r>
      <w:r>
        <w:rPr>
          <w:rStyle w:val="20"/>
          <w:rFonts w:hint="eastAsia" w:hAnsi="仿宋" w:eastAsia="仿宋_GB2312"/>
          <w:lang w:eastAsia="zh-CN"/>
        </w:rPr>
        <w:t>住房保障</w:t>
      </w:r>
      <w:r>
        <w:rPr>
          <w:rStyle w:val="20"/>
          <w:rFonts w:hint="default" w:hAnsi="仿宋"/>
        </w:rPr>
        <w:t>支出</w:t>
      </w:r>
      <w:r>
        <w:rPr>
          <w:rStyle w:val="21"/>
          <w:rFonts w:hint="eastAsia" w:ascii="仿宋_GB2312" w:hAnsi="仿宋" w:eastAsia="仿宋_GB2312"/>
          <w:lang w:val="en-US" w:eastAsia="zh-CN"/>
        </w:rPr>
        <w:t>26.91</w:t>
      </w:r>
      <w:r>
        <w:rPr>
          <w:rStyle w:val="20"/>
          <w:rFonts w:hint="default" w:hAnsi="仿宋"/>
        </w:rPr>
        <w:t>万元。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971.68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7.62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0.8</w:t>
      </w:r>
      <w:r>
        <w:rPr>
          <w:rFonts w:hint="eastAsia" w:ascii="仿宋_GB2312" w:hAnsi="仿宋" w:eastAsia="仿宋_GB2312"/>
          <w:sz w:val="32"/>
          <w:szCs w:val="32"/>
        </w:rPr>
        <w:t>%，增长的主要原因是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" w:eastAsia="仿宋_GB2312"/>
          <w:sz w:val="32"/>
          <w:szCs w:val="32"/>
        </w:rPr>
        <w:t>基本工资、津贴补贴、奖金、绩效工资、机关事业单位基本养老保险缴费、职业年金缴费、职工基本医疗保险缴费、公务员医疗补助缴费、其他社会保障缴费、住房公积金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等人员类经费调标增加。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381.49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588.74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2DD7CC2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500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" w:eastAsia="仿宋_GB2312"/>
          <w:sz w:val="32"/>
          <w:szCs w:val="32"/>
        </w:rPr>
        <w:t>万元，增长（减少）的主要原因是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:项目减少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1757F10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一般公共服务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支出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1362.96</w:t>
      </w:r>
      <w:r>
        <w:rPr>
          <w:rFonts w:hint="eastAsia" w:ascii="仿宋_GB2312" w:eastAsia="仿宋_GB2312"/>
          <w:color w:val="000000"/>
          <w:sz w:val="32"/>
          <w:szCs w:val="32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。</w:t>
      </w:r>
    </w:p>
    <w:p w14:paraId="41DEEF6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2.社会保障和就业支出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2024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62.79万元。</w:t>
      </w:r>
    </w:p>
    <w:p w14:paraId="533A98B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3.卫生健康支出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2024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19.02万元。</w:t>
      </w:r>
    </w:p>
    <w:p w14:paraId="4B02E58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4.住房保障支出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2024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26.91万元。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6B52960A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19.5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0.1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2C1E118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1.因公出国（境）费用   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   万元，增长（下降）   %，增长（下降）的主要原因是……。</w:t>
      </w:r>
    </w:p>
    <w:p w14:paraId="1AF2032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2.公务接待费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0.1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下降主要原因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：压缩接待标准、减少接待次数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CC6752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3.公务用车购置及运行维护费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9.5</w:t>
      </w:r>
      <w:r>
        <w:rPr>
          <w:rFonts w:hint="eastAsia" w:ascii="仿宋_GB2312" w:hAnsi="仿宋" w:eastAsia="仿宋_GB2312"/>
          <w:sz w:val="32"/>
          <w:szCs w:val="32"/>
        </w:rPr>
        <w:t>万元（其中：公务用车购置    万元，公务用车运行维护费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9.5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预算持平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C18502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7ED815E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4.培训费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1.2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%，下降的主要原因是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压缩培训成本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7BFF1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0C1AA7B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5.会议费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与</w:t>
      </w:r>
      <w:r>
        <w:rPr>
          <w:rFonts w:hint="eastAsia" w:ascii="仿宋_GB2312" w:hAnsi="仿宋" w:eastAsia="仿宋_GB2312"/>
          <w:sz w:val="32"/>
          <w:szCs w:val="32"/>
        </w:rPr>
        <w:t>2023年预算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持平。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2A2D2C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588.74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0.09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73FD1C8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615.7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500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115.7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51697E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年，部门（单位）面向中小企业预留政府采购项目预算金额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7051FEC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546.13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4408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419.66</w:t>
      </w:r>
      <w:r>
        <w:rPr>
          <w:rFonts w:hint="eastAsia" w:ascii="仿宋_GB2312" w:hAnsi="仿宋" w:eastAsia="仿宋_GB2312"/>
          <w:sz w:val="32"/>
          <w:szCs w:val="32"/>
        </w:rPr>
        <w:t>万元。预算部门（单位）共有公务用车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辆，价值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23.9</w:t>
      </w:r>
      <w:r>
        <w:rPr>
          <w:rFonts w:hint="eastAsia" w:ascii="仿宋_GB2312" w:hAnsi="仿宋" w:eastAsia="仿宋_GB2312"/>
          <w:sz w:val="32"/>
          <w:szCs w:val="32"/>
        </w:rPr>
        <w:t>万元。单价20万元以上的设备价值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23.9</w:t>
      </w:r>
      <w:r>
        <w:rPr>
          <w:rFonts w:hint="eastAsia" w:ascii="仿宋_GB2312" w:hAnsi="仿宋" w:eastAsia="仿宋_GB2312"/>
          <w:sz w:val="32"/>
          <w:szCs w:val="32"/>
        </w:rPr>
        <w:t>万元。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年拟采购固定资产约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47035A0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年未安排预算，政府性基金预算支出情况表为空表。</w:t>
      </w:r>
    </w:p>
    <w:p w14:paraId="792B6F08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0C54ABC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4703C47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年初预算未安排项目支出，无重点项目说明。</w:t>
      </w: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5F6CF6A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年未安排预算，部门/单位管理转移支付表为空表。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1565C8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545CA32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   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371B93B0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%。““双监控”发现存在的问题和主要原因是：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绩效指标设置不够合理，还需进一步优化，今后按照《县级预算绩效管理办法》相关要求，进一步加强预算绩效管理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95E4D0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个，其中，部门（单位）整体支出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%。绩效自评结果随部门决算报送财政和随决算公开情况：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根据县财政局绩效评价公开要求，及时在县政务网进行公开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826B3B6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我单位长久以来严格控制预算，加大预算执行力度，保证各项工作正常开展，各项资金落实到位，及时分析财务执行情况，保证各项工作在绩效结果影响下更好开展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4335F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5ED3C40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年，纳入部门/单位预算绩效目标管理的项目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/>
          <w:sz w:val="32"/>
          <w:szCs w:val="32"/>
        </w:rPr>
        <w:t>个；项目支出绩效目标围绕成本指标、产出指标、效益指标、满意度指标四个维度，设置二级指标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/>
          <w:sz w:val="32"/>
          <w:szCs w:val="32"/>
        </w:rPr>
        <w:t>个。各项绩效目标内容指向明确、细化量化、合理可行，符合规定的格式要求。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CA7FF0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18C50624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453FCEBD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439DCF04"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中共华池县委办公室</w:t>
      </w:r>
    </w:p>
    <w:p w14:paraId="48324A27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104DAE91">
      <w:pPr>
        <w:adjustRightInd w:val="0"/>
        <w:snapToGrid w:val="0"/>
        <w:spacing w:line="640" w:lineRule="exact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2294E03E">
      <w:pPr>
        <w:adjustRightInd w:val="0"/>
        <w:snapToGrid w:val="0"/>
        <w:spacing w:line="640" w:lineRule="exact"/>
        <w:ind w:left="1918" w:leftChars="304" w:hanging="1280" w:hangingChars="400"/>
        <w:contextualSpacing/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华池县委办公室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71EA7900">
      <w:pPr>
        <w:adjustRightInd w:val="0"/>
        <w:snapToGrid w:val="0"/>
        <w:spacing w:line="640" w:lineRule="exact"/>
        <w:ind w:left="1916" w:leftChars="760" w:hanging="320" w:hangingChars="1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华池县委办公室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223A174C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22DB4760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893557-D08E-4CFB-B81D-B1C5B67C692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520B52D-0C1B-425F-B8A0-895DE8470567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D7C9022-1EFE-4986-8A31-639B176A229C}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4" w:fontKey="{0B2A7D0A-B983-496E-B779-979BAF4B5D0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A1844DF-DBD8-4788-961A-E99CAA3517F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2626EEF9-3462-42C1-A114-0563A55CF17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C96F42FF-15E5-4B61-B83D-0D2778059BA9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8" w:fontKey="{B0CA41FF-9E7E-4BAE-A16C-F957B747D6D8}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9" w:fontKey="{1217A1C2-07AD-49EE-BD22-0E51FE96CF3A}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10" w:fontKey="{38B01C1E-6BC5-4BCF-AEAD-61D37F6B0C3F}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11" w:fontKey="{6D59F233-8452-456E-8533-9EE0DE3C98A4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2" w:fontKey="{A10D1945-BC9D-467F-8674-4A2D97D3D8A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79A7733"/>
    <w:rsid w:val="113741D2"/>
    <w:rsid w:val="18330BA7"/>
    <w:rsid w:val="1D34261E"/>
    <w:rsid w:val="42A05423"/>
    <w:rsid w:val="49F9643A"/>
    <w:rsid w:val="4C433C79"/>
    <w:rsid w:val="527E074E"/>
    <w:rsid w:val="56393C72"/>
    <w:rsid w:val="579503FF"/>
    <w:rsid w:val="60535296"/>
    <w:rsid w:val="72FD2525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0">
    <w:name w:val="line number"/>
    <w:autoRedefine/>
    <w:qFormat/>
    <w:uiPriority w:val="0"/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2" Type="http://schemas.openxmlformats.org/officeDocument/2006/relationships/font" Target="fonts/font1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12</Pages>
  <Words>4809</Words>
  <Characters>5046</Characters>
  <Lines>68</Lines>
  <Paragraphs>19</Paragraphs>
  <TotalTime>43</TotalTime>
  <ScaleCrop>false</ScaleCrop>
  <LinksUpToDate>false</LinksUpToDate>
  <CharactersWithSpaces>5516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孙瑞</cp:lastModifiedBy>
  <cp:lastPrinted>2025-02-12T06:07:47Z</cp:lastPrinted>
  <dcterms:modified xsi:type="dcterms:W3CDTF">2025-02-12T06:09:15Z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C18954F5C0FD4B54A7DD99ED0270F0C6_13</vt:lpwstr>
  </property>
  <property fmtid="{D5CDD505-2E9C-101B-9397-08002B2CF9AE}" pid="4" name="KSOTemplateDocerSaveRecord">
    <vt:lpwstr>eyJoZGlkIjoiZGI0NWQ1ZmE4OWYzMjk0ZTkzNDBiODAxZTkzMjRhMDIiLCJ1c2VySWQiOiIzNjU1NDQ1NzIifQ==</vt:lpwstr>
  </property>
</Properties>
</file>