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6188BD6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华池县农业产业化发展中心</w:t>
      </w:r>
    </w:p>
    <w:p w14:paraId="2D8FA09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33FA1EF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2683C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both"/>
        <w:textAlignment w:val="auto"/>
        <w:rPr>
          <w:rFonts w:hint="eastAsia"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言</w:t>
      </w:r>
    </w:p>
    <w:p w14:paraId="796F5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3" w:firstLineChars="200"/>
        <w:jc w:val="center"/>
        <w:textAlignment w:val="auto"/>
        <w:rPr>
          <w:rFonts w:hint="eastAsia" w:ascii="仿宋_GB2312" w:hAnsi="黑体" w:eastAsia="仿宋_GB2312" w:cs="宋体"/>
          <w:b/>
          <w:kern w:val="0"/>
          <w:sz w:val="32"/>
          <w:szCs w:val="32"/>
        </w:rPr>
      </w:pPr>
    </w:p>
    <w:p w14:paraId="6619E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61CA5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华池县农业产业化发展中心为正科级事业单位，隶属县农业农村局。主要负责贯彻落实国家、省、市、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有关农业产业化发展及高标准农田建设工作的法律、法规和政策；承担全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农业产业化发展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规划相关任务的实施和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龙头企业培育扶持工作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会同有关单位共同做好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特色农产品品牌培育及产品宣传推介工作；负责全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重大农业产业化发展招商引资项目衔接服务工作；承担全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高标准农田建设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规划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方案申报、组织招标、项目实施、项目验收以及资产管护移交等业务工作；完成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农业农村局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及上级业务部门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交办的其他工作任务。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二、机构设置情况</w:t>
      </w:r>
    </w:p>
    <w:p w14:paraId="17B44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年底，我单位财政供养人员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人（人员编制9人），其中：在职干部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人，在职工人1人。</w:t>
      </w:r>
    </w:p>
    <w:p w14:paraId="14F9C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05B2D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11237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302.89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万元。按照综合预算的原则，部门（单位）所有收入和支出均纳入部门预算管理。收入包括：一般公共预算拨款收入；支出包括：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社会保障和就业支出、卫生健康支出、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农林水支出、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住房保障支出。</w:t>
      </w:r>
    </w:p>
    <w:p w14:paraId="58BC0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3" w:firstLineChars="200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0926F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302.89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22147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302.89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4B568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41FB7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B634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1C10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81EF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302.89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302.89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val="en-US" w:eastAsia="zh-CN"/>
        </w:rPr>
        <w:t>,</w:t>
      </w:r>
      <w:r>
        <w:rPr>
          <w:rStyle w:val="20"/>
          <w:rFonts w:hint="default" w:hAnsi="仿宋"/>
        </w:rPr>
        <w:t>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1"/>
          <w:rFonts w:hint="eastAsia" w:ascii="仿宋_GB2312" w:hAnsi="仿宋" w:eastAsia="仿宋_GB2312"/>
          <w:lang w:val="en-US" w:eastAsia="zh-CN"/>
        </w:rPr>
        <w:t>;</w:t>
      </w:r>
      <w:r>
        <w:rPr>
          <w:rStyle w:val="20"/>
          <w:rFonts w:hint="default" w:hAnsi="仿宋"/>
        </w:rPr>
        <w:t>项目支出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1"/>
          <w:rFonts w:hint="eastAsia" w:ascii="仿宋_GB2312" w:hAnsi="仿宋" w:eastAsia="仿宋_GB2312"/>
          <w:lang w:val="en-US" w:eastAsia="zh-CN"/>
        </w:rPr>
        <w:t>;</w:t>
      </w:r>
      <w:r>
        <w:rPr>
          <w:rStyle w:val="20"/>
          <w:rFonts w:hint="default" w:hAnsi="仿宋"/>
        </w:rPr>
        <w:t>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val="en-US" w:eastAsia="zh-CN"/>
        </w:rPr>
        <w:t>,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43DAB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19A7B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val="en-US"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302.89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46.15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eastAsia="zh-CN"/>
        </w:rPr>
        <w:t>农林水支出</w:t>
      </w:r>
      <w:r>
        <w:rPr>
          <w:rStyle w:val="20"/>
          <w:rFonts w:hint="eastAsia" w:hAnsi="仿宋" w:eastAsia="仿宋_GB2312"/>
          <w:lang w:val="en-US" w:eastAsia="zh-CN"/>
        </w:rPr>
        <w:t>222.16万元、卫生健康支出13.72万元、住房保障支出20.86万元、</w:t>
      </w:r>
      <w:r>
        <w:rPr>
          <w:rStyle w:val="20"/>
          <w:rFonts w:hint="default" w:hAnsi="仿宋"/>
        </w:rPr>
        <w:t>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25C59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2FA8A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288.94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82E6D46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78.93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人员变动。</w:t>
      </w:r>
    </w:p>
    <w:p w14:paraId="7911E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267.20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万元，主要包括：基本工资、津贴补贴、奖金、绩效工资、机关事业单位基本养老保险缴费、职业年金缴费、职工基本医疗保险缴费、其他社会保障缴费、住房公积金、其他工资福利支出、代缴社会保险费 、其他对个人和家庭的补助等。</w:t>
      </w:r>
    </w:p>
    <w:p w14:paraId="0FED8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21.74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万元，主要包括：办公费、印刷费、水费、电费、邮电费、取暖费、物业管理费、差旅费、工会经费、福利费、税金及附加费用、其他商品和服务支出等。</w:t>
      </w:r>
    </w:p>
    <w:p w14:paraId="27370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51DD5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7ED9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7C140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社会保障和就业支出（ 类）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46.15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0459E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卫生健康支出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 类）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13.72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5264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农林水</w:t>
      </w:r>
      <w:r>
        <w:rPr>
          <w:rFonts w:hint="eastAsia" w:ascii="仿宋_GB2312" w:eastAsia="仿宋_GB2312"/>
          <w:color w:val="000000"/>
          <w:sz w:val="32"/>
          <w:szCs w:val="32"/>
        </w:rPr>
        <w:t>支出（ 类）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222.16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70CA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住房保障</w:t>
      </w:r>
      <w:r>
        <w:rPr>
          <w:rFonts w:hint="eastAsia" w:ascii="仿宋_GB2312" w:eastAsia="仿宋_GB2312"/>
          <w:color w:val="000000"/>
          <w:sz w:val="32"/>
          <w:szCs w:val="32"/>
        </w:rPr>
        <w:t>支出（ 类）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20.86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1F9CF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34070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49709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未安排</w:t>
      </w: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EACB25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培训费预算情况说明</w:t>
      </w:r>
    </w:p>
    <w:p w14:paraId="70528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未安排培训费</w:t>
      </w:r>
      <w:r>
        <w:rPr>
          <w:rFonts w:hint="eastAsia" w:ascii="仿宋_GB2312" w:hAnsi="仿宋" w:eastAsia="仿宋_GB2312"/>
          <w:sz w:val="32"/>
          <w:szCs w:val="32"/>
        </w:rPr>
        <w:t>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1722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7017A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未安排会议费</w:t>
      </w:r>
      <w:r>
        <w:rPr>
          <w:rFonts w:hint="eastAsia" w:ascii="仿宋_GB2312" w:hAnsi="仿宋" w:eastAsia="仿宋_GB2312"/>
          <w:sz w:val="32"/>
          <w:szCs w:val="32"/>
        </w:rPr>
        <w:t>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D983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619C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。由于我单位为事业编管理单位，无财政拨款机关运行经费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F9C8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3CF3C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未安排</w:t>
      </w:r>
      <w:r>
        <w:rPr>
          <w:rFonts w:hint="eastAsia" w:ascii="仿宋_GB2312" w:hAnsi="仿宋" w:eastAsia="仿宋_GB2312"/>
          <w:sz w:val="32"/>
          <w:szCs w:val="32"/>
        </w:rPr>
        <w:t>部门（单位）政府采购。</w:t>
      </w:r>
    </w:p>
    <w:p w14:paraId="4BAE8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95FF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48AD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292BD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4FEF6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" w:eastAsia="仿宋_GB2312"/>
          <w:sz w:val="32"/>
          <w:szCs w:val="32"/>
        </w:rPr>
        <w:t>政府性基金预算拨款支出未安排预算，政府性基金预算支出情况表为空表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DEE7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5DAB1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我</w:t>
      </w:r>
      <w:r>
        <w:rPr>
          <w:rFonts w:hint="eastAsia" w:ascii="仿宋_GB2312" w:hAnsi="仿宋" w:eastAsia="仿宋_GB2312"/>
          <w:sz w:val="32"/>
          <w:szCs w:val="32"/>
        </w:rPr>
        <w:t>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B879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5C2C9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2025年无重点项目。</w:t>
      </w:r>
    </w:p>
    <w:p w14:paraId="7E9B3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63DDA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6EFAE1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26030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637BB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616C8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4A4CE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由于我单位为新成立部门，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2024年新纳入预算单位，2023年无预算绩效。</w:t>
      </w:r>
    </w:p>
    <w:p w14:paraId="29EF9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（二）2024年绩效目标编制情况</w:t>
      </w:r>
    </w:p>
    <w:p w14:paraId="20929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3E97E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15A0E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2E39C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5FF21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02871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06731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54837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1DE6E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D8B10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2E03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6F5E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96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华池县农业产业化发展中心</w:t>
      </w:r>
    </w:p>
    <w:p w14:paraId="2D35B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1120"/>
        <w:contextualSpacing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DBB4D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contextualSpacing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551BA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contextualSpacing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C362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华池县农业产业化发展中心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年预算公开表</w:t>
      </w:r>
    </w:p>
    <w:p w14:paraId="4324D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1796" w:leftChars="767" w:hanging="185" w:hangingChars="58"/>
        <w:contextualSpacing/>
        <w:textAlignment w:val="auto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华池县农业产业化发展中心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年整体支出绩效目标及预算项目绩效目标表</w:t>
      </w:r>
      <w:bookmarkStart w:id="0" w:name="_GoBack"/>
      <w:bookmarkEnd w:id="0"/>
    </w:p>
    <w:sectPr>
      <w:footerReference r:id="rId5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A66C6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52FDFB3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48DD2"/>
    <w:multiLevelType w:val="singleLevel"/>
    <w:tmpl w:val="E7D48DD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3E599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4D05CEB"/>
    <w:rsid w:val="08A234FA"/>
    <w:rsid w:val="0A1421D6"/>
    <w:rsid w:val="0C871385"/>
    <w:rsid w:val="0CC430D5"/>
    <w:rsid w:val="113741D2"/>
    <w:rsid w:val="15556931"/>
    <w:rsid w:val="176C0F1B"/>
    <w:rsid w:val="18330BA7"/>
    <w:rsid w:val="1D34261E"/>
    <w:rsid w:val="25DC7BF4"/>
    <w:rsid w:val="270A0791"/>
    <w:rsid w:val="2EB55486"/>
    <w:rsid w:val="35E6383B"/>
    <w:rsid w:val="42A05423"/>
    <w:rsid w:val="448E07FB"/>
    <w:rsid w:val="45156827"/>
    <w:rsid w:val="48474F49"/>
    <w:rsid w:val="4C433C79"/>
    <w:rsid w:val="51800A06"/>
    <w:rsid w:val="527E074E"/>
    <w:rsid w:val="56393C72"/>
    <w:rsid w:val="579503FF"/>
    <w:rsid w:val="583354EA"/>
    <w:rsid w:val="5AE418CD"/>
    <w:rsid w:val="5B700AB5"/>
    <w:rsid w:val="5BA858A7"/>
    <w:rsid w:val="5F092B01"/>
    <w:rsid w:val="60535296"/>
    <w:rsid w:val="60A24FBB"/>
    <w:rsid w:val="6B563571"/>
    <w:rsid w:val="6D7101EF"/>
    <w:rsid w:val="6E2E60E0"/>
    <w:rsid w:val="72A20E4A"/>
    <w:rsid w:val="72AC1CC9"/>
    <w:rsid w:val="72FD2525"/>
    <w:rsid w:val="7725661C"/>
    <w:rsid w:val="777110D9"/>
    <w:rsid w:val="78106856"/>
    <w:rsid w:val="7D2747F6"/>
    <w:rsid w:val="7D7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9</Pages>
  <Words>3015</Words>
  <Characters>3233</Characters>
  <Lines>68</Lines>
  <Paragraphs>19</Paragraphs>
  <TotalTime>3</TotalTime>
  <ScaleCrop>false</ScaleCrop>
  <LinksUpToDate>false</LinksUpToDate>
  <CharactersWithSpaces>3293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ら゛蓅姩ら゛</cp:lastModifiedBy>
  <cp:lastPrinted>2022-02-15T07:45:00Z</cp:lastPrinted>
  <dcterms:modified xsi:type="dcterms:W3CDTF">2025-02-11T11:31:49Z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eyJoZGlkIjoiZTM4YTk0YzZiMDM1MGE2MzBkOTA3ZGU1NzFhMTVhZjciLCJ1c2VySWQiOiIyMDQ5NjIwNTcifQ==</vt:lpwstr>
  </property>
</Properties>
</file>