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CD8B6B5">
      <w:pPr>
        <w:spacing w:line="660" w:lineRule="exact"/>
        <w:jc w:val="center"/>
        <w:rPr>
          <w:rFonts w:hint="eastAsia" w:ascii="宋体" w:hAnsi="宋体" w:cs="宋体"/>
          <w:b/>
          <w:bCs/>
          <w:kern w:val="0"/>
          <w:sz w:val="44"/>
          <w:szCs w:val="44"/>
        </w:rPr>
      </w:pPr>
    </w:p>
    <w:p w14:paraId="0065D364">
      <w:pPr>
        <w:spacing w:line="660" w:lineRule="exact"/>
        <w:jc w:val="center"/>
        <w:rPr>
          <w:rFonts w:hint="eastAsia" w:ascii="宋体" w:hAnsi="宋体" w:cs="宋体"/>
          <w:b/>
          <w:bCs/>
          <w:kern w:val="0"/>
          <w:sz w:val="44"/>
          <w:szCs w:val="44"/>
        </w:rPr>
      </w:pPr>
    </w:p>
    <w:p w14:paraId="5AF7918B">
      <w:pPr>
        <w:spacing w:line="660" w:lineRule="exact"/>
        <w:jc w:val="center"/>
        <w:rPr>
          <w:rFonts w:hint="eastAsia" w:ascii="宋体" w:hAnsi="宋体" w:cs="宋体"/>
          <w:b/>
          <w:bCs/>
          <w:kern w:val="0"/>
          <w:sz w:val="44"/>
          <w:szCs w:val="44"/>
        </w:rPr>
      </w:pPr>
    </w:p>
    <w:p w14:paraId="170BE9BE">
      <w:pPr>
        <w:spacing w:line="660" w:lineRule="exact"/>
        <w:jc w:val="center"/>
        <w:rPr>
          <w:rFonts w:hint="eastAsia" w:ascii="宋体" w:hAnsi="宋体" w:cs="宋体"/>
          <w:b/>
          <w:bCs/>
          <w:kern w:val="0"/>
          <w:sz w:val="44"/>
          <w:szCs w:val="44"/>
        </w:rPr>
      </w:pPr>
      <w:r>
        <w:rPr>
          <w:rFonts w:hint="eastAsia" w:ascii="宋体" w:hAnsi="宋体" w:cs="宋体"/>
          <w:b/>
          <w:bCs/>
          <w:kern w:val="0"/>
          <w:sz w:val="44"/>
          <w:szCs w:val="44"/>
        </w:rPr>
        <w:t>华池县幼儿园</w:t>
      </w:r>
    </w:p>
    <w:p w14:paraId="329B2323">
      <w:pPr>
        <w:spacing w:line="660" w:lineRule="exact"/>
        <w:jc w:val="center"/>
        <w:rPr>
          <w:rFonts w:hint="eastAsia" w:ascii="宋体" w:hAnsi="宋体" w:cs="宋体"/>
          <w:b/>
          <w:bCs/>
          <w:kern w:val="0"/>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1440" w:left="1276" w:header="851" w:footer="992" w:gutter="0"/>
          <w:cols w:space="720" w:num="1"/>
          <w:docGrid w:type="lines" w:linePitch="312" w:charSpace="0"/>
        </w:sectPr>
      </w:pPr>
      <w:r>
        <w:rPr>
          <w:rFonts w:hint="eastAsia" w:ascii="宋体" w:hAnsi="宋体" w:cs="宋体"/>
          <w:b/>
          <w:bCs/>
          <w:kern w:val="0"/>
          <w:sz w:val="44"/>
          <w:szCs w:val="44"/>
        </w:rPr>
        <w:t xml:space="preserve">2025年部门/单位预算公开情况说明 </w:t>
      </w:r>
    </w:p>
    <w:p w14:paraId="23298934">
      <w:pPr>
        <w:spacing w:line="660" w:lineRule="exact"/>
        <w:jc w:val="center"/>
        <w:rPr>
          <w:rFonts w:hint="eastAsia" w:ascii="宋体" w:hAnsi="宋体" w:cs="宋体"/>
          <w:b/>
          <w:bCs/>
          <w:kern w:val="0"/>
          <w:sz w:val="44"/>
          <w:szCs w:val="44"/>
        </w:rPr>
      </w:pPr>
      <w:r>
        <w:rPr>
          <w:rFonts w:hint="eastAsia" w:ascii="宋体" w:hAnsi="宋体" w:cs="宋体"/>
          <w:b/>
          <w:bCs/>
          <w:kern w:val="0"/>
          <w:sz w:val="44"/>
          <w:szCs w:val="44"/>
        </w:rPr>
        <w:t>目  录</w:t>
      </w:r>
    </w:p>
    <w:p w14:paraId="404A4908">
      <w:pPr>
        <w:spacing w:line="660" w:lineRule="exact"/>
        <w:jc w:val="center"/>
        <w:rPr>
          <w:rFonts w:hint="eastAsia" w:ascii="宋体" w:hAnsi="宋体" w:cs="宋体"/>
          <w:b/>
          <w:bCs/>
          <w:kern w:val="0"/>
          <w:sz w:val="44"/>
          <w:szCs w:val="44"/>
        </w:rPr>
      </w:pPr>
    </w:p>
    <w:p w14:paraId="581C7286">
      <w:pPr>
        <w:spacing w:line="30" w:lineRule="exact"/>
        <w:jc w:val="center"/>
        <w:rPr>
          <w:rFonts w:ascii="黑体" w:eastAsia="黑体"/>
          <w:color w:val="000000"/>
          <w:sz w:val="18"/>
          <w:szCs w:val="18"/>
        </w:rPr>
      </w:pPr>
    </w:p>
    <w:p w14:paraId="53002029">
      <w:pPr>
        <w:spacing w:line="560" w:lineRule="exact"/>
        <w:ind w:firstLine="602" w:firstLineChars="200"/>
        <w:jc w:val="left"/>
        <w:rPr>
          <w:rFonts w:hint="eastAsia" w:ascii="仿宋_GB2312" w:hAnsi="仿宋" w:eastAsia="仿宋_GB2312"/>
          <w:b/>
          <w:color w:val="000000"/>
          <w:sz w:val="30"/>
          <w:szCs w:val="30"/>
        </w:rPr>
      </w:pPr>
      <w:r>
        <w:rPr>
          <w:rFonts w:hint="eastAsia" w:ascii="仿宋_GB2312" w:hAnsi="仿宋" w:eastAsia="仿宋_GB2312"/>
          <w:b/>
          <w:color w:val="000000"/>
          <w:sz w:val="30"/>
          <w:szCs w:val="30"/>
        </w:rPr>
        <w:t>第一部分 部门/单位基本概况</w:t>
      </w:r>
    </w:p>
    <w:p w14:paraId="70C024E0">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一、部门/单位职责</w:t>
      </w:r>
    </w:p>
    <w:p w14:paraId="4D83AF2B">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二、机构设置情况</w:t>
      </w:r>
    </w:p>
    <w:p w14:paraId="433351F8">
      <w:pPr>
        <w:spacing w:line="560" w:lineRule="exact"/>
        <w:ind w:firstLine="602" w:firstLineChars="200"/>
        <w:jc w:val="left"/>
        <w:rPr>
          <w:rFonts w:hint="eastAsia" w:ascii="仿宋_GB2312" w:hAnsi="仿宋" w:eastAsia="仿宋_GB2312"/>
          <w:b/>
          <w:color w:val="000000"/>
          <w:sz w:val="30"/>
          <w:szCs w:val="30"/>
        </w:rPr>
      </w:pPr>
      <w:r>
        <w:rPr>
          <w:rFonts w:hint="eastAsia" w:ascii="仿宋_GB2312" w:hAnsi="仿宋" w:eastAsia="仿宋_GB2312"/>
          <w:b/>
          <w:color w:val="000000"/>
          <w:sz w:val="30"/>
          <w:szCs w:val="30"/>
        </w:rPr>
        <w:t>第二部分 2025年部门/单位预算情况说明</w:t>
      </w:r>
    </w:p>
    <w:p w14:paraId="44EBD670">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三、收支总体情况</w:t>
      </w:r>
    </w:p>
    <w:p w14:paraId="0BB73FF5">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四、一般公共预算情况</w:t>
      </w:r>
    </w:p>
    <w:p w14:paraId="4A12B8CB">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五、一般公共预算财政拨款“三公”经费、培训费、会议费等情况</w:t>
      </w:r>
    </w:p>
    <w:p w14:paraId="435BC81C">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六、一般公共预算财政拨款机关运行经费情况</w:t>
      </w:r>
    </w:p>
    <w:p w14:paraId="2F88CE30">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七、政府采购安排情况</w:t>
      </w:r>
    </w:p>
    <w:p w14:paraId="5046C445">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八、国有资产占用情况</w:t>
      </w:r>
    </w:p>
    <w:p w14:paraId="6D55E2E0">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九、其他重要事项情况说明</w:t>
      </w:r>
    </w:p>
    <w:p w14:paraId="171C4917">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十、预算绩效管理情况</w:t>
      </w:r>
    </w:p>
    <w:p w14:paraId="7042C3D9">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十一、名词解释</w:t>
      </w:r>
    </w:p>
    <w:p w14:paraId="734FD345">
      <w:pPr>
        <w:spacing w:line="560" w:lineRule="exact"/>
        <w:ind w:firstLine="602" w:firstLineChars="200"/>
        <w:jc w:val="left"/>
        <w:rPr>
          <w:rFonts w:hint="eastAsia" w:ascii="仿宋_GB2312" w:hAnsi="仿宋" w:eastAsia="仿宋_GB2312"/>
          <w:b/>
          <w:color w:val="000000"/>
          <w:sz w:val="30"/>
          <w:szCs w:val="30"/>
        </w:rPr>
      </w:pPr>
      <w:r>
        <w:rPr>
          <w:rFonts w:hint="eastAsia" w:ascii="仿宋_GB2312" w:hAnsi="仿宋" w:eastAsia="仿宋_GB2312"/>
          <w:b/>
          <w:color w:val="000000"/>
          <w:sz w:val="30"/>
          <w:szCs w:val="30"/>
        </w:rPr>
        <w:t>第三部分 2025年部门（单位）预算公开表</w:t>
      </w:r>
    </w:p>
    <w:p w14:paraId="3FD2078A">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一、部门/单位收支总体情况表</w:t>
      </w:r>
    </w:p>
    <w:p w14:paraId="72142C80">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二、部门/单位收入总体情况表</w:t>
      </w:r>
    </w:p>
    <w:p w14:paraId="45966E8E">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三、部门/单位支出总体情况表</w:t>
      </w:r>
    </w:p>
    <w:p w14:paraId="675B8204">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四、财政拨款收支总体情况表</w:t>
      </w:r>
    </w:p>
    <w:p w14:paraId="7622165F">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五、财政拨款支出表</w:t>
      </w:r>
    </w:p>
    <w:p w14:paraId="6361183A">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六、一般公共预算支出情况表</w:t>
      </w:r>
    </w:p>
    <w:p w14:paraId="600E5294">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七、一般公共预算基本支出情况表</w:t>
      </w:r>
    </w:p>
    <w:p w14:paraId="5189B486">
      <w:pPr>
        <w:spacing w:line="560" w:lineRule="exact"/>
        <w:ind w:firstLine="600" w:firstLineChars="200"/>
        <w:jc w:val="left"/>
        <w:rPr>
          <w:rFonts w:hint="eastAsia" w:ascii="仿宋_GB2312" w:hAnsi="仿宋" w:eastAsia="仿宋_GB2312"/>
          <w:color w:val="000000"/>
          <w:spacing w:val="-20"/>
          <w:sz w:val="30"/>
          <w:szCs w:val="30"/>
        </w:rPr>
      </w:pPr>
      <w:r>
        <w:rPr>
          <w:rFonts w:hint="eastAsia" w:ascii="仿宋_GB2312" w:hAnsi="仿宋" w:eastAsia="仿宋_GB2312"/>
          <w:color w:val="000000"/>
          <w:sz w:val="30"/>
          <w:szCs w:val="30"/>
        </w:rPr>
        <w:t>八、</w:t>
      </w:r>
      <w:r>
        <w:rPr>
          <w:rFonts w:hint="eastAsia" w:ascii="仿宋_GB2312" w:hAnsi="仿宋" w:eastAsia="仿宋_GB2312"/>
          <w:color w:val="000000"/>
          <w:spacing w:val="-20"/>
          <w:sz w:val="30"/>
          <w:szCs w:val="30"/>
        </w:rPr>
        <w:t>一般公共预算财政拨款“三公”经费、会议费、培训费支出情况表</w:t>
      </w:r>
    </w:p>
    <w:p w14:paraId="4B121EFE">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九、一般公共预算财政拨款机关运行经费表</w:t>
      </w:r>
    </w:p>
    <w:p w14:paraId="031FDB5A">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十、政府性基金预算支出情况表</w:t>
      </w:r>
    </w:p>
    <w:p w14:paraId="5FFFCFAF">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十一、部门管理转移支付表</w:t>
      </w:r>
    </w:p>
    <w:p w14:paraId="505BB7C1">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十二、国有资本经营预算支出情况表</w:t>
      </w:r>
    </w:p>
    <w:p w14:paraId="4129F3F1">
      <w:pPr>
        <w:spacing w:line="560" w:lineRule="exact"/>
        <w:ind w:firstLine="600" w:firstLineChars="200"/>
        <w:jc w:val="left"/>
        <w:rPr>
          <w:rFonts w:hint="eastAsia" w:ascii="仿宋_GB2312" w:hAnsi="仿宋" w:eastAsia="仿宋_GB2312"/>
          <w:color w:val="000000"/>
          <w:sz w:val="30"/>
          <w:szCs w:val="30"/>
        </w:rPr>
      </w:pPr>
      <w:r>
        <w:rPr>
          <w:rFonts w:hint="eastAsia" w:ascii="仿宋_GB2312" w:hAnsi="仿宋" w:eastAsia="仿宋_GB2312"/>
          <w:color w:val="000000"/>
          <w:sz w:val="30"/>
          <w:szCs w:val="30"/>
        </w:rPr>
        <w:t>十三、部门/单位整体支出绩效目标表和项目支出绩效目标表</w:t>
      </w:r>
    </w:p>
    <w:p w14:paraId="7F85859C">
      <w:pPr>
        <w:spacing w:line="660" w:lineRule="exact"/>
        <w:jc w:val="center"/>
        <w:rPr>
          <w:rFonts w:hint="eastAsia" w:ascii="仿宋_GB2312" w:hAnsi="宋体" w:eastAsia="仿宋_GB2312" w:cs="宋体"/>
          <w:b/>
          <w:bCs/>
          <w:kern w:val="0"/>
          <w:sz w:val="44"/>
          <w:szCs w:val="44"/>
        </w:rPr>
      </w:pPr>
    </w:p>
    <w:p w14:paraId="560FDDAB">
      <w:pPr>
        <w:spacing w:line="600" w:lineRule="exact"/>
        <w:ind w:firstLine="562" w:firstLineChars="200"/>
        <w:rPr>
          <w:rFonts w:hint="eastAsia" w:ascii="仿宋_GB2312" w:hAnsi="仿宋" w:eastAsia="仿宋_GB2312" w:cs="宋体"/>
          <w:b/>
          <w:kern w:val="0"/>
          <w:sz w:val="28"/>
          <w:szCs w:val="28"/>
        </w:rPr>
        <w:sectPr>
          <w:footerReference r:id="rId9" w:type="default"/>
          <w:pgSz w:w="11906" w:h="16838"/>
          <w:pgMar w:top="1134" w:right="1134" w:bottom="1440" w:left="1276" w:header="851" w:footer="992" w:gutter="0"/>
          <w:pgNumType w:start="1"/>
          <w:cols w:space="720" w:num="1"/>
          <w:docGrid w:type="lines" w:linePitch="312" w:charSpace="0"/>
        </w:sectPr>
      </w:pPr>
    </w:p>
    <w:p w14:paraId="42E458F6">
      <w:pPr>
        <w:spacing w:line="600" w:lineRule="exact"/>
        <w:ind w:firstLine="643" w:firstLineChars="200"/>
        <w:rPr>
          <w:rFonts w:hint="eastAsia" w:ascii="仿宋_GB2312" w:hAnsi="黑体" w:eastAsia="仿宋_GB2312" w:cs="宋体"/>
          <w:b/>
          <w:kern w:val="0"/>
          <w:sz w:val="32"/>
          <w:szCs w:val="32"/>
        </w:rPr>
      </w:pPr>
      <w:r>
        <w:rPr>
          <w:rFonts w:hint="eastAsia" w:ascii="仿宋_GB2312" w:hAnsi="黑体" w:eastAsia="仿宋_GB2312" w:cs="宋体"/>
          <w:b/>
          <w:kern w:val="0"/>
          <w:sz w:val="32"/>
          <w:szCs w:val="32"/>
        </w:rPr>
        <w:t>前言</w:t>
      </w:r>
    </w:p>
    <w:p w14:paraId="0AD557B8">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按照《中华人民共和国预算法》《中华人民共和国预算法实施条例》以及</w:t>
      </w:r>
      <w:r>
        <w:rPr>
          <w:rFonts w:ascii="仿宋_GB2312" w:hAnsi="仿宋" w:eastAsia="仿宋_GB2312" w:cs="宋体"/>
          <w:kern w:val="0"/>
          <w:sz w:val="32"/>
          <w:szCs w:val="32"/>
        </w:rPr>
        <w:t>财政部</w:t>
      </w:r>
      <w:r>
        <w:rPr>
          <w:rFonts w:hint="eastAsia" w:ascii="仿宋_GB2312" w:hAnsi="仿宋" w:eastAsia="仿宋_GB2312" w:cs="宋体"/>
          <w:kern w:val="0"/>
          <w:sz w:val="32"/>
          <w:szCs w:val="32"/>
        </w:rPr>
        <w:t>《地方预决算公开操作规程》《关于推进部门所属单位预算公开的指导意见》和《中共甘肃省委办公厅 甘肃省人民政府办公厅关于进一步推进预算公开工作的实施方案》要求，现将2025年部门预算公开如下：</w:t>
      </w:r>
    </w:p>
    <w:p w14:paraId="1BFDDEEA">
      <w:pPr>
        <w:spacing w:line="60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一、部门/单位职责</w:t>
      </w:r>
    </w:p>
    <w:p w14:paraId="2DEDB8D6">
      <w:pPr>
        <w:spacing w:line="640" w:lineRule="exact"/>
        <w:ind w:firstLine="640" w:firstLineChars="200"/>
        <w:rPr>
          <w:rFonts w:hint="eastAsia" w:ascii="仿宋_GB2312" w:hAnsi="仿宋" w:eastAsia="仿宋_GB2312" w:cs="仿宋"/>
          <w:sz w:val="32"/>
          <w:szCs w:val="32"/>
        </w:rPr>
      </w:pPr>
      <w:r>
        <w:rPr>
          <w:rFonts w:hint="eastAsia" w:ascii="仿宋_GB2312" w:eastAsia="仿宋_GB2312" w:cs="仿宋_GB2312"/>
          <w:sz w:val="32"/>
          <w:szCs w:val="32"/>
        </w:rPr>
        <w:t>华池县幼儿园</w:t>
      </w:r>
      <w:r>
        <w:rPr>
          <w:rFonts w:ascii="Times New Roman" w:hAnsi="Times New Roman" w:eastAsia="仿宋_GB2312"/>
          <w:sz w:val="32"/>
          <w:szCs w:val="32"/>
        </w:rPr>
        <w:t>是</w:t>
      </w:r>
      <w:r>
        <w:rPr>
          <w:rFonts w:hint="eastAsia" w:ascii="仿宋_GB2312" w:hAnsi="微软雅黑" w:eastAsia="仿宋_GB2312" w:cs="仿宋_GB2312"/>
          <w:sz w:val="32"/>
          <w:szCs w:val="32"/>
          <w:shd w:val="clear" w:color="auto" w:fill="FFFFFF"/>
        </w:rPr>
        <w:t>承担华池县县城3-6岁幼儿的保育教育工作</w:t>
      </w:r>
      <w:r>
        <w:rPr>
          <w:rFonts w:ascii="Times New Roman" w:hAnsi="Times New Roman" w:eastAsia="仿宋_GB2312"/>
          <w:sz w:val="32"/>
          <w:szCs w:val="32"/>
        </w:rPr>
        <w:t>等工作的职能部门。主要职责是:</w:t>
      </w:r>
      <w:r>
        <w:rPr>
          <w:rFonts w:hint="eastAsia" w:ascii="仿宋_GB2312" w:hAnsi="微软雅黑" w:eastAsia="仿宋_GB2312" w:cs="仿宋_GB2312"/>
          <w:sz w:val="32"/>
          <w:szCs w:val="32"/>
          <w:shd w:val="clear" w:color="auto" w:fill="FFFFFF"/>
        </w:rPr>
        <w:t>根据幼儿身心发展的特点，以全面发展为核心，以保育结合为原则。以特色教育为龙头，以游戏活动为基本手段，积极开展各项活动。力求在健康、社会、语言、科学、艺术五大领域促进幼儿和谐、充分、全面发展。</w:t>
      </w:r>
    </w:p>
    <w:p w14:paraId="720E48B4">
      <w:pPr>
        <w:spacing w:line="60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二、机构设置情况</w:t>
      </w:r>
    </w:p>
    <w:p w14:paraId="77BC1A87">
      <w:pPr>
        <w:spacing w:line="60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（一）机关内设机构</w:t>
      </w:r>
    </w:p>
    <w:p w14:paraId="29ADD447">
      <w:pPr>
        <w:pStyle w:val="7"/>
        <w:shd w:val="clear" w:color="auto" w:fill="FFFFFF"/>
        <w:spacing w:beforeAutospacing="0" w:afterAutospacing="0" w:line="555" w:lineRule="atLeast"/>
        <w:ind w:firstLine="645"/>
        <w:rPr>
          <w:rFonts w:ascii="仿宋_GB2312" w:eastAsia="仿宋_GB2312" w:cs="仿宋_GB2312"/>
          <w:sz w:val="32"/>
          <w:szCs w:val="32"/>
        </w:rPr>
      </w:pPr>
      <w:r>
        <w:rPr>
          <w:rFonts w:hint="eastAsia" w:ascii="仿宋_GB2312" w:hAnsi="微软雅黑" w:eastAsia="仿宋_GB2312" w:cs="仿宋_GB2312"/>
          <w:sz w:val="32"/>
          <w:szCs w:val="32"/>
          <w:shd w:val="clear" w:color="auto" w:fill="FFFFFF"/>
        </w:rPr>
        <w:t>华池县幼儿园</w:t>
      </w:r>
      <w:r>
        <w:rPr>
          <w:rFonts w:ascii="仿宋_GB2312" w:hAnsi="微软雅黑" w:eastAsia="仿宋_GB2312" w:cs="仿宋_GB2312"/>
          <w:sz w:val="32"/>
          <w:szCs w:val="32"/>
          <w:shd w:val="clear" w:color="auto" w:fill="FFFFFF"/>
        </w:rPr>
        <w:t>内设</w:t>
      </w:r>
      <w:r>
        <w:rPr>
          <w:rFonts w:hint="eastAsia" w:ascii="仿宋_GB2312" w:hAnsi="微软雅黑" w:eastAsia="仿宋_GB2312" w:cs="仿宋_GB2312"/>
          <w:sz w:val="32"/>
          <w:szCs w:val="32"/>
          <w:shd w:val="clear" w:color="auto" w:fill="FFFFFF"/>
        </w:rPr>
        <w:t>10个班级；</w:t>
      </w:r>
      <w:r>
        <w:rPr>
          <w:rFonts w:hint="eastAsia" w:ascii="仿宋_GB2312" w:eastAsia="仿宋_GB2312" w:cs="仿宋_GB2312"/>
          <w:sz w:val="32"/>
          <w:szCs w:val="32"/>
        </w:rPr>
        <w:t>办公室共计5个，其中教务办公室1个，行政办公室1个，中小班教师办公室和大班教师办公室各1个；</w:t>
      </w:r>
      <w:r>
        <w:rPr>
          <w:rFonts w:hint="eastAsia" w:ascii="仿宋_GB2312" w:hAnsi="微软雅黑" w:eastAsia="仿宋_GB2312" w:cs="仿宋_GB2312"/>
          <w:sz w:val="32"/>
          <w:szCs w:val="32"/>
          <w:shd w:val="clear" w:color="auto" w:fill="FFFFFF"/>
        </w:rPr>
        <w:t>根据幼儿身心发展的特点，以全面发展为核心，以保育结合为原则。以特色教育为龙头，以游戏活动为基本手段，积极开展各项活动。</w:t>
      </w:r>
    </w:p>
    <w:p w14:paraId="316EA88B">
      <w:pPr>
        <w:spacing w:line="60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（二）参照公务员法管理单位</w:t>
      </w:r>
    </w:p>
    <w:p w14:paraId="76DB884D">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无</w:t>
      </w:r>
    </w:p>
    <w:p w14:paraId="1A18BC42">
      <w:pPr>
        <w:spacing w:line="60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（三）直属事业单位</w:t>
      </w:r>
    </w:p>
    <w:p w14:paraId="23091B34">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无</w:t>
      </w:r>
    </w:p>
    <w:p w14:paraId="154D8898">
      <w:pPr>
        <w:spacing w:line="60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三、部门/单位收支总体情况</w:t>
      </w:r>
    </w:p>
    <w:p w14:paraId="10AF1836">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按照预算管理有关规定，2025年部门（单位）收支包括机关预算和直属单位预算在内的汇总情况。</w:t>
      </w:r>
    </w:p>
    <w:p w14:paraId="02D85CDC">
      <w:pPr>
        <w:spacing w:line="60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2025年部门收支总预算549.6万元。按照综合预算的原则，部门（单位）所有收入和支出均纳入部门预算管理。收入包括：一般公共预算拨款收入、政府性基金预算拨款收入、事业收入、事业单位经营收入、其他收入、使用非财政拨款结余、上年结转；支出包括：一般公共服务支出、公共安全支出、教育支出、科学技术支出、社会保障和就业支出、卫生健康支出、交通运输支出、住房保障支出、其他支出。</w:t>
      </w:r>
    </w:p>
    <w:p w14:paraId="78846D78">
      <w:pPr>
        <w:spacing w:line="600" w:lineRule="exact"/>
        <w:ind w:firstLine="643" w:firstLineChars="200"/>
        <w:rPr>
          <w:rFonts w:hint="eastAsia" w:ascii="楷体_GB2312" w:hAnsi="楷体" w:eastAsia="楷体_GB2312"/>
          <w:sz w:val="32"/>
          <w:szCs w:val="32"/>
        </w:rPr>
      </w:pPr>
      <w:r>
        <w:rPr>
          <w:rFonts w:hint="eastAsia" w:ascii="楷体_GB2312" w:hAnsi="楷体" w:eastAsia="楷体_GB2312" w:cs="宋体"/>
          <w:b/>
          <w:bCs/>
          <w:kern w:val="0"/>
          <w:sz w:val="32"/>
          <w:szCs w:val="32"/>
        </w:rPr>
        <w:t>（一）收入预算</w:t>
      </w:r>
    </w:p>
    <w:p w14:paraId="7E3AB6EB">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2025年收入预算549.6万元（详见部门/单位预算公开表1,2）。包括：</w:t>
      </w:r>
    </w:p>
    <w:p w14:paraId="745038EB">
      <w:pPr>
        <w:widowControl/>
        <w:spacing w:line="56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一般公共预算收入549.6万元，占100%。</w:t>
      </w:r>
    </w:p>
    <w:p w14:paraId="2217B580">
      <w:pPr>
        <w:adjustRightInd w:val="0"/>
        <w:snapToGrid w:val="0"/>
        <w:spacing w:line="640" w:lineRule="exact"/>
        <w:ind w:firstLine="643" w:firstLineChars="200"/>
        <w:contextualSpacing/>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（二）支出预算</w:t>
      </w:r>
    </w:p>
    <w:p w14:paraId="356FC486">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2025年支出预算549.6万元（详见部门/单位预算公开表3）。</w:t>
      </w:r>
      <w:r>
        <w:rPr>
          <w:rStyle w:val="21"/>
          <w:rFonts w:hint="default" w:hAnsi="仿宋"/>
        </w:rPr>
        <w:t>其中：基本支出549.6万元，占100</w:t>
      </w:r>
      <w:r>
        <w:rPr>
          <w:rStyle w:val="22"/>
          <w:rFonts w:hint="eastAsia" w:ascii="仿宋_GB2312" w:hAnsi="仿宋" w:eastAsia="仿宋_GB2312"/>
        </w:rPr>
        <w:t>%</w:t>
      </w:r>
      <w:r>
        <w:rPr>
          <w:rStyle w:val="21"/>
          <w:rFonts w:hAnsi="仿宋"/>
        </w:rPr>
        <w:t>。</w:t>
      </w:r>
    </w:p>
    <w:p w14:paraId="7D7ADD50">
      <w:pPr>
        <w:adjustRightInd w:val="0"/>
        <w:snapToGrid w:val="0"/>
        <w:spacing w:line="640" w:lineRule="exact"/>
        <w:ind w:firstLine="640" w:firstLineChars="200"/>
        <w:contextualSpacing/>
        <w:rPr>
          <w:rFonts w:hint="eastAsia" w:ascii="黑体" w:hAnsi="黑体" w:eastAsia="黑体" w:cs="宋体"/>
          <w:kern w:val="0"/>
          <w:sz w:val="32"/>
          <w:szCs w:val="32"/>
        </w:rPr>
      </w:pPr>
      <w:r>
        <w:rPr>
          <w:rFonts w:hint="eastAsia" w:ascii="黑体" w:hAnsi="黑体" w:eastAsia="黑体" w:cs="宋体"/>
          <w:kern w:val="0"/>
          <w:sz w:val="32"/>
          <w:szCs w:val="32"/>
        </w:rPr>
        <w:t>四、一般公共预算情况</w:t>
      </w:r>
    </w:p>
    <w:p w14:paraId="0F3C656B">
      <w:pPr>
        <w:spacing w:line="600" w:lineRule="exact"/>
        <w:ind w:firstLine="640" w:firstLineChars="200"/>
        <w:rPr>
          <w:rFonts w:hint="eastAsia" w:ascii="仿宋_GB2312" w:hAnsi="仿宋" w:eastAsia="仿宋_GB2312" w:cs="宋体"/>
          <w:kern w:val="0"/>
          <w:sz w:val="32"/>
          <w:szCs w:val="32"/>
        </w:rPr>
      </w:pPr>
      <w:r>
        <w:rPr>
          <w:rStyle w:val="22"/>
          <w:rFonts w:hint="eastAsia" w:ascii="仿宋_GB2312" w:hAnsi="仿宋" w:eastAsia="仿宋_GB2312"/>
        </w:rPr>
        <w:t xml:space="preserve">2025 </w:t>
      </w:r>
      <w:r>
        <w:rPr>
          <w:rStyle w:val="21"/>
          <w:rFonts w:hint="default" w:hAnsi="仿宋"/>
        </w:rPr>
        <w:t>年一般公共预算当年支出549.6</w:t>
      </w:r>
      <w:r>
        <w:rPr>
          <w:rStyle w:val="22"/>
          <w:rFonts w:hint="eastAsia" w:ascii="仿宋_GB2312" w:hAnsi="仿宋" w:eastAsia="仿宋_GB2312"/>
        </w:rPr>
        <w:t xml:space="preserve"> </w:t>
      </w:r>
      <w:r>
        <w:rPr>
          <w:rStyle w:val="21"/>
          <w:rFonts w:hint="default" w:hAnsi="仿宋"/>
        </w:rPr>
        <w:t>万元，包括：一般公共服务支出0万元、公共安全支出0</w:t>
      </w:r>
      <w:r>
        <w:rPr>
          <w:rStyle w:val="22"/>
          <w:rFonts w:hint="eastAsia" w:ascii="仿宋_GB2312" w:hAnsi="仿宋" w:eastAsia="仿宋_GB2312"/>
        </w:rPr>
        <w:t xml:space="preserve"> </w:t>
      </w:r>
      <w:r>
        <w:rPr>
          <w:rStyle w:val="21"/>
          <w:rFonts w:hint="default" w:hAnsi="仿宋"/>
        </w:rPr>
        <w:t>万元、教育支出401.64万元、社会保障和就业支出</w:t>
      </w:r>
      <w:r>
        <w:rPr>
          <w:rStyle w:val="22"/>
          <w:rFonts w:hint="eastAsia" w:ascii="仿宋_GB2312" w:hAnsi="仿宋" w:eastAsia="仿宋_GB2312"/>
        </w:rPr>
        <w:t>81.09</w:t>
      </w:r>
      <w:r>
        <w:rPr>
          <w:rStyle w:val="21"/>
          <w:rFonts w:hint="default" w:hAnsi="仿宋"/>
        </w:rPr>
        <w:t>万元、</w:t>
      </w:r>
      <w:r>
        <w:rPr>
          <w:rFonts w:hint="eastAsia" w:ascii="仿宋_GB2312" w:hAnsi="仿宋" w:eastAsia="仿宋_GB2312" w:cs="宋体"/>
          <w:kern w:val="0"/>
          <w:sz w:val="32"/>
          <w:szCs w:val="32"/>
        </w:rPr>
        <w:t>卫生健康支出28.84万元、住房保障支出38.03万元。</w:t>
      </w:r>
      <w:r>
        <w:rPr>
          <w:rFonts w:hint="eastAsia" w:ascii="仿宋_GB2312" w:hAnsi="仿宋" w:eastAsia="仿宋_GB2312"/>
          <w:sz w:val="32"/>
          <w:szCs w:val="32"/>
        </w:rPr>
        <w:t>具体安排情况如下</w:t>
      </w:r>
      <w:r>
        <w:rPr>
          <w:rFonts w:hint="eastAsia" w:ascii="仿宋_GB2312" w:hAnsi="微软雅黑" w:eastAsia="仿宋_GB2312"/>
          <w:sz w:val="32"/>
          <w:szCs w:val="32"/>
        </w:rPr>
        <w:t>（详见部门（单位）预算公开表4,5,6,7）</w:t>
      </w:r>
      <w:r>
        <w:rPr>
          <w:rFonts w:hint="eastAsia" w:ascii="仿宋_GB2312" w:hAnsi="仿宋" w:eastAsia="仿宋_GB2312"/>
          <w:sz w:val="32"/>
          <w:szCs w:val="32"/>
        </w:rPr>
        <w:t>：</w:t>
      </w:r>
    </w:p>
    <w:p w14:paraId="59725234">
      <w:pPr>
        <w:spacing w:line="640" w:lineRule="exact"/>
        <w:ind w:firstLine="643" w:firstLineChars="200"/>
        <w:contextualSpacing/>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（一）基本支出</w:t>
      </w:r>
    </w:p>
    <w:p w14:paraId="1AE41538">
      <w:pPr>
        <w:widowControl/>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2025年基本支出549.6万元，比2024年预算减少105.63万元，下降16%，下降的主要原因是教师减少，人员工资及社会保障支出减少。</w:t>
      </w:r>
    </w:p>
    <w:p w14:paraId="70883497">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其中：人员经费支出525.1万元，主要包括：基本工资、津贴补贴、奖金、伙食补助费、绩效工资、机关事业单位基本养老保险缴费、职业年金缴费、职工基本医疗保险缴费、公务员医疗补助缴费、其他社会保障缴费、住房公积金、医疗费、其他工资福利支出等。</w:t>
      </w:r>
    </w:p>
    <w:p w14:paraId="5167C9CF">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r>
        <w:rPr>
          <w:rFonts w:hint="eastAsia" w:ascii="仿宋_GB2312" w:hAnsi="仿宋" w:eastAsia="仿宋_GB2312"/>
          <w:sz w:val="32"/>
          <w:szCs w:val="32"/>
        </w:rPr>
        <w:t>公用经费支出24.5万元，主要包括：办公费、印刷费、咨询费、水费、电费、邮电费、取暖费、差旅费、维修（护）费、租赁费、培训费、劳务费、委托业务费、工会经费、福利费、其他商品和服务支出、办公设备购置等。</w:t>
      </w:r>
    </w:p>
    <w:p w14:paraId="35973761">
      <w:pPr>
        <w:widowControl/>
        <w:adjustRightInd w:val="0"/>
        <w:snapToGrid w:val="0"/>
        <w:spacing w:line="640" w:lineRule="exact"/>
        <w:ind w:firstLine="640" w:firstLineChars="200"/>
        <w:contextualSpacing/>
        <w:jc w:val="left"/>
        <w:rPr>
          <w:rFonts w:hint="eastAsia" w:ascii="仿宋_GB2312" w:hAnsi="仿宋" w:eastAsia="仿宋_GB2312"/>
          <w:sz w:val="32"/>
          <w:szCs w:val="32"/>
        </w:rPr>
      </w:pPr>
    </w:p>
    <w:p w14:paraId="2CA5B858">
      <w:pPr>
        <w:adjustRightInd w:val="0"/>
        <w:snapToGrid w:val="0"/>
        <w:spacing w:line="640" w:lineRule="exact"/>
        <w:ind w:firstLine="643" w:firstLineChars="200"/>
        <w:contextualSpacing/>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（二）支出功能分类说明</w:t>
      </w:r>
    </w:p>
    <w:p w14:paraId="792B8A8D">
      <w:pPr>
        <w:widowControl/>
        <w:adjustRightInd w:val="0"/>
        <w:snapToGrid w:val="0"/>
        <w:spacing w:line="640" w:lineRule="exact"/>
        <w:ind w:firstLine="640" w:firstLineChars="200"/>
        <w:contextualSpacing/>
        <w:jc w:val="left"/>
        <w:rPr>
          <w:rFonts w:ascii="仿宋_GB2312" w:eastAsia="仿宋_GB2312"/>
          <w:color w:val="000000"/>
          <w:sz w:val="32"/>
          <w:szCs w:val="32"/>
        </w:rPr>
      </w:pPr>
      <w:r>
        <w:rPr>
          <w:rFonts w:hint="eastAsia" w:ascii="仿宋_GB2312" w:hAnsi="TimesNewRomanPS-BoldMT" w:eastAsia="仿宋_GB2312"/>
          <w:bCs/>
          <w:color w:val="000000"/>
          <w:sz w:val="32"/>
          <w:szCs w:val="32"/>
        </w:rPr>
        <w:t>1.教育支出</w:t>
      </w:r>
      <w:r>
        <w:rPr>
          <w:rFonts w:hint="eastAsia" w:ascii="仿宋_GB2312" w:hAnsi="TimesNewRomanPSMT" w:eastAsia="仿宋_GB2312"/>
          <w:color w:val="000000"/>
          <w:sz w:val="32"/>
          <w:szCs w:val="32"/>
        </w:rPr>
        <w:t>2025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rPr>
        <w:t>401.64</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2024</w:t>
      </w:r>
      <w:r>
        <w:rPr>
          <w:rFonts w:hint="eastAsia" w:ascii="仿宋_GB2312" w:eastAsia="仿宋_GB2312"/>
          <w:color w:val="000000"/>
          <w:sz w:val="32"/>
          <w:szCs w:val="32"/>
        </w:rPr>
        <w:t>年预算减少84.93万元，主要原因是学生人数和教职工人数减少。</w:t>
      </w:r>
    </w:p>
    <w:p w14:paraId="166F320B">
      <w:pPr>
        <w:widowControl/>
        <w:adjustRightInd w:val="0"/>
        <w:snapToGrid w:val="0"/>
        <w:spacing w:line="640" w:lineRule="exact"/>
        <w:ind w:firstLine="640" w:firstLineChars="200"/>
        <w:contextualSpacing/>
        <w:jc w:val="left"/>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hAnsi="TimesNewRomanPS-BoldMT" w:eastAsia="仿宋_GB2312"/>
          <w:bCs/>
          <w:color w:val="000000"/>
          <w:sz w:val="32"/>
          <w:szCs w:val="32"/>
        </w:rPr>
        <w:t>社会保障和就业支出</w:t>
      </w:r>
      <w:r>
        <w:rPr>
          <w:rFonts w:hint="eastAsia" w:ascii="仿宋_GB2312" w:hAnsi="TimesNewRomanPSMT" w:eastAsia="仿宋_GB2312"/>
          <w:color w:val="000000"/>
          <w:sz w:val="32"/>
          <w:szCs w:val="32"/>
        </w:rPr>
        <w:t xml:space="preserve">2025 </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rPr>
        <w:t>81.09</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2024</w:t>
      </w:r>
      <w:r>
        <w:rPr>
          <w:rFonts w:hint="eastAsia" w:ascii="仿宋_GB2312" w:eastAsia="仿宋_GB2312"/>
          <w:color w:val="000000"/>
          <w:sz w:val="32"/>
          <w:szCs w:val="32"/>
        </w:rPr>
        <w:t>年预算减少10.87万元，主要原因是教职工人数减少。</w:t>
      </w:r>
    </w:p>
    <w:p w14:paraId="42DF9C59">
      <w:pPr>
        <w:widowControl/>
        <w:adjustRightInd w:val="0"/>
        <w:snapToGrid w:val="0"/>
        <w:spacing w:line="640" w:lineRule="exact"/>
        <w:ind w:firstLine="640" w:firstLineChars="200"/>
        <w:contextualSpacing/>
        <w:jc w:val="left"/>
        <w:rPr>
          <w:rFonts w:ascii="仿宋_GB2312" w:eastAsia="仿宋_GB2312"/>
          <w:color w:val="000000"/>
          <w:sz w:val="32"/>
          <w:szCs w:val="32"/>
        </w:rPr>
      </w:pPr>
      <w:r>
        <w:rPr>
          <w:rFonts w:hint="eastAsia" w:ascii="仿宋_GB2312" w:eastAsia="仿宋_GB2312"/>
          <w:color w:val="000000"/>
          <w:sz w:val="32"/>
          <w:szCs w:val="32"/>
        </w:rPr>
        <w:t>3.</w:t>
      </w:r>
      <w:r>
        <w:rPr>
          <w:rFonts w:hint="eastAsia" w:ascii="仿宋_GB2312" w:hAnsi="TimesNewRomanPS-BoldMT" w:eastAsia="仿宋_GB2312"/>
          <w:bCs/>
          <w:color w:val="000000"/>
          <w:sz w:val="32"/>
          <w:szCs w:val="32"/>
        </w:rPr>
        <w:t>卫生健康支出</w:t>
      </w:r>
      <w:r>
        <w:rPr>
          <w:rFonts w:hint="eastAsia" w:ascii="仿宋_GB2312" w:hAnsi="TimesNewRomanPSMT" w:eastAsia="仿宋_GB2312"/>
          <w:color w:val="000000"/>
          <w:sz w:val="32"/>
          <w:szCs w:val="32"/>
        </w:rPr>
        <w:t>2025</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rPr>
        <w:t>28.84</w:t>
      </w:r>
      <w:r>
        <w:rPr>
          <w:rFonts w:hint="eastAsia" w:ascii="仿宋_GB2312" w:eastAsia="仿宋_GB2312"/>
          <w:color w:val="000000"/>
          <w:sz w:val="32"/>
          <w:szCs w:val="32"/>
        </w:rPr>
        <w:t>万元， 比</w:t>
      </w:r>
      <w:r>
        <w:rPr>
          <w:rFonts w:hint="eastAsia" w:ascii="仿宋_GB2312" w:hAnsi="TimesNewRomanPSMT" w:eastAsia="仿宋_GB2312"/>
          <w:color w:val="000000"/>
          <w:sz w:val="32"/>
          <w:szCs w:val="32"/>
        </w:rPr>
        <w:t>2024</w:t>
      </w:r>
      <w:r>
        <w:rPr>
          <w:rFonts w:hint="eastAsia" w:ascii="仿宋_GB2312" w:eastAsia="仿宋_GB2312"/>
          <w:color w:val="000000"/>
          <w:sz w:val="32"/>
          <w:szCs w:val="32"/>
        </w:rPr>
        <w:t>年预算减少3.89万元，主要原因是教职工人数减少。</w:t>
      </w:r>
    </w:p>
    <w:p w14:paraId="177DDFB2">
      <w:pPr>
        <w:widowControl/>
        <w:adjustRightInd w:val="0"/>
        <w:snapToGrid w:val="0"/>
        <w:spacing w:line="640" w:lineRule="exact"/>
        <w:ind w:firstLine="640" w:firstLineChars="200"/>
        <w:contextualSpacing/>
        <w:jc w:val="left"/>
        <w:rPr>
          <w:rFonts w:ascii="仿宋_GB2312" w:eastAsia="仿宋_GB2312"/>
          <w:color w:val="000000"/>
          <w:sz w:val="32"/>
          <w:szCs w:val="32"/>
        </w:rPr>
      </w:pPr>
      <w:r>
        <w:rPr>
          <w:rFonts w:hint="eastAsia" w:ascii="仿宋_GB2312" w:hAnsi="TimesNewRomanPS-BoldMT" w:eastAsia="仿宋_GB2312"/>
          <w:bCs/>
          <w:color w:val="000000"/>
          <w:sz w:val="32"/>
          <w:szCs w:val="32"/>
        </w:rPr>
        <w:t>4.住房保障支出</w:t>
      </w:r>
      <w:r>
        <w:rPr>
          <w:rFonts w:hint="eastAsia" w:ascii="仿宋_GB2312" w:hAnsi="TimesNewRomanPSMT" w:eastAsia="仿宋_GB2312"/>
          <w:color w:val="000000"/>
          <w:sz w:val="32"/>
          <w:szCs w:val="32"/>
        </w:rPr>
        <w:t xml:space="preserve">2025 </w:t>
      </w:r>
      <w:r>
        <w:rPr>
          <w:rFonts w:hint="eastAsia" w:ascii="仿宋_GB2312" w:eastAsia="仿宋_GB2312"/>
          <w:color w:val="000000"/>
          <w:sz w:val="32"/>
          <w:szCs w:val="32"/>
        </w:rPr>
        <w:t>年预算数为</w:t>
      </w:r>
      <w:r>
        <w:rPr>
          <w:rFonts w:hint="eastAsia" w:ascii="仿宋_GB2312" w:hAnsi="TimesNewRomanPSMT" w:eastAsia="仿宋_GB2312"/>
          <w:color w:val="000000"/>
          <w:sz w:val="32"/>
          <w:szCs w:val="32"/>
        </w:rPr>
        <w:t>38.03</w:t>
      </w:r>
      <w:r>
        <w:rPr>
          <w:rFonts w:hint="eastAsia" w:ascii="仿宋_GB2312" w:eastAsia="仿宋_GB2312"/>
          <w:color w:val="000000"/>
          <w:sz w:val="32"/>
          <w:szCs w:val="32"/>
        </w:rPr>
        <w:t>万元，比</w:t>
      </w:r>
      <w:r>
        <w:rPr>
          <w:rFonts w:hint="eastAsia" w:ascii="仿宋_GB2312" w:hAnsi="TimesNewRomanPSMT" w:eastAsia="仿宋_GB2312"/>
          <w:color w:val="000000"/>
          <w:sz w:val="32"/>
          <w:szCs w:val="32"/>
        </w:rPr>
        <w:t>2024</w:t>
      </w:r>
      <w:r>
        <w:rPr>
          <w:rFonts w:hint="eastAsia" w:ascii="仿宋_GB2312" w:eastAsia="仿宋_GB2312"/>
          <w:color w:val="000000"/>
          <w:sz w:val="32"/>
          <w:szCs w:val="32"/>
        </w:rPr>
        <w:t>年预算减少5.67万元，主要原因是教职工人数减少。</w:t>
      </w:r>
    </w:p>
    <w:p w14:paraId="0A65071F">
      <w:pPr>
        <w:adjustRightInd w:val="0"/>
        <w:snapToGrid w:val="0"/>
        <w:spacing w:line="640" w:lineRule="exact"/>
        <w:ind w:firstLine="640" w:firstLineChars="200"/>
        <w:contextualSpacing/>
        <w:rPr>
          <w:rFonts w:hint="eastAsia" w:ascii="黑体" w:hAnsi="黑体" w:eastAsia="黑体" w:cs="宋体"/>
          <w:kern w:val="0"/>
          <w:sz w:val="32"/>
          <w:szCs w:val="32"/>
        </w:rPr>
      </w:pPr>
      <w:r>
        <w:rPr>
          <w:rFonts w:hint="eastAsia" w:ascii="黑体" w:hAnsi="黑体" w:eastAsia="黑体" w:cs="宋体"/>
          <w:kern w:val="0"/>
          <w:sz w:val="32"/>
          <w:szCs w:val="32"/>
        </w:rPr>
        <w:t>五、部门（单位）一般公共预算财政拨款“三公”经费、培训费、会议费等情况</w:t>
      </w:r>
    </w:p>
    <w:p w14:paraId="127FEF19">
      <w:pPr>
        <w:adjustRightInd w:val="0"/>
        <w:snapToGrid w:val="0"/>
        <w:spacing w:line="640" w:lineRule="exact"/>
        <w:ind w:firstLine="643" w:firstLineChars="200"/>
        <w:rPr>
          <w:rFonts w:ascii="楷体_GB2312" w:hAnsi="楷体" w:eastAsia="楷体_GB2312" w:cs="宋体"/>
          <w:b/>
          <w:bCs/>
          <w:kern w:val="0"/>
          <w:sz w:val="32"/>
          <w:szCs w:val="32"/>
        </w:rPr>
      </w:pPr>
      <w:r>
        <w:rPr>
          <w:rFonts w:hint="eastAsia" w:ascii="楷体_GB2312" w:hAnsi="楷体" w:eastAsia="楷体_GB2312" w:cs="宋体"/>
          <w:b/>
          <w:bCs/>
          <w:kern w:val="0"/>
          <w:sz w:val="32"/>
          <w:szCs w:val="32"/>
        </w:rPr>
        <w:t>（一）“三公”经费情况说明</w:t>
      </w:r>
    </w:p>
    <w:p w14:paraId="510450D5">
      <w:pPr>
        <w:widowControl/>
        <w:adjustRightInd w:val="0"/>
        <w:snapToGrid w:val="0"/>
        <w:spacing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“本单位无“三公”经费预算。</w:t>
      </w:r>
    </w:p>
    <w:p w14:paraId="2D9DED29">
      <w:pPr>
        <w:adjustRightInd w:val="0"/>
        <w:snapToGrid w:val="0"/>
        <w:spacing w:line="64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（二）培训费预算情况说明</w:t>
      </w:r>
    </w:p>
    <w:p w14:paraId="1E9FFDBC">
      <w:pPr>
        <w:widowControl/>
        <w:adjustRightInd w:val="0"/>
        <w:snapToGrid w:val="0"/>
        <w:spacing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本单位无培训费预算。</w:t>
      </w:r>
    </w:p>
    <w:p w14:paraId="7AD5E5D7">
      <w:pPr>
        <w:adjustRightInd w:val="0"/>
        <w:snapToGrid w:val="0"/>
        <w:spacing w:line="64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（三）会议费预算情况说明</w:t>
      </w:r>
    </w:p>
    <w:p w14:paraId="7ADF736B">
      <w:pPr>
        <w:widowControl/>
        <w:adjustRightInd w:val="0"/>
        <w:snapToGrid w:val="0"/>
        <w:spacing w:line="640" w:lineRule="exact"/>
        <w:ind w:firstLine="640" w:firstLineChars="200"/>
        <w:jc w:val="left"/>
        <w:rPr>
          <w:rFonts w:hint="eastAsia" w:ascii="仿宋_GB2312" w:eastAsia="仿宋_GB2312"/>
          <w:sz w:val="32"/>
          <w:szCs w:val="32"/>
        </w:rPr>
      </w:pPr>
      <w:r>
        <w:rPr>
          <w:rFonts w:hint="eastAsia" w:ascii="仿宋_GB2312" w:hAnsi="仿宋" w:eastAsia="仿宋_GB2312"/>
          <w:sz w:val="32"/>
          <w:szCs w:val="32"/>
        </w:rPr>
        <w:t>本单位无会议费预算。</w:t>
      </w:r>
    </w:p>
    <w:p w14:paraId="695BDC0F">
      <w:pPr>
        <w:adjustRightInd w:val="0"/>
        <w:snapToGrid w:val="0"/>
        <w:spacing w:line="64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六、一般公共预算财政拨款机关运行经费情况</w:t>
      </w:r>
    </w:p>
    <w:p w14:paraId="041625F6">
      <w:pPr>
        <w:widowControl/>
        <w:adjustRightInd w:val="0"/>
        <w:snapToGrid w:val="0"/>
        <w:spacing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本单位为事业单位无机关运行经费。</w:t>
      </w:r>
    </w:p>
    <w:p w14:paraId="60BB012B">
      <w:pPr>
        <w:adjustRightInd w:val="0"/>
        <w:snapToGrid w:val="0"/>
        <w:spacing w:line="64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七、政府采购安排情况</w:t>
      </w:r>
    </w:p>
    <w:p w14:paraId="0128AE4F">
      <w:pPr>
        <w:widowControl/>
        <w:adjustRightInd w:val="0"/>
        <w:snapToGrid w:val="0"/>
        <w:spacing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2025年，部门（单位）政府采购预算总额18万元，其中：政府采购货物预算18万元，政府采购工程预算0万元，政府采购服务预算0万元。</w:t>
      </w:r>
    </w:p>
    <w:p w14:paraId="10B3BE74">
      <w:pPr>
        <w:widowControl/>
        <w:adjustRightInd w:val="0"/>
        <w:snapToGrid w:val="0"/>
        <w:spacing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2025年，部门（单位）面向中小企业预留政府采购项目预算金额 0 万元，小微企业预留政府采购项目预算金额0万元。</w:t>
      </w:r>
    </w:p>
    <w:p w14:paraId="5A9E32FE">
      <w:pPr>
        <w:adjustRightInd w:val="0"/>
        <w:snapToGrid w:val="0"/>
        <w:spacing w:line="64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八、国有资产占用情况</w:t>
      </w:r>
    </w:p>
    <w:p w14:paraId="0217313A">
      <w:pPr>
        <w:widowControl/>
        <w:adjustRightInd w:val="0"/>
        <w:snapToGrid w:val="0"/>
        <w:spacing w:line="640" w:lineRule="exact"/>
        <w:ind w:firstLine="620" w:firstLineChars="200"/>
        <w:jc w:val="left"/>
        <w:rPr>
          <w:rFonts w:hint="eastAsia" w:ascii="仿宋_GB2312" w:hAnsi="仿宋" w:eastAsia="仿宋_GB2312"/>
          <w:sz w:val="32"/>
          <w:szCs w:val="32"/>
        </w:rPr>
      </w:pPr>
      <w:r>
        <w:rPr>
          <w:rFonts w:ascii="仿宋_GB2312" w:hAnsi="微软雅黑" w:eastAsia="仿宋_GB2312" w:cs="仿宋_GB2312"/>
          <w:color w:val="333333"/>
          <w:sz w:val="31"/>
          <w:szCs w:val="31"/>
          <w:shd w:val="clear" w:color="auto" w:fill="FFFFFF"/>
        </w:rPr>
        <w:t>上年末固定资产金额为</w:t>
      </w:r>
      <w:r>
        <w:rPr>
          <w:rFonts w:hint="eastAsia" w:ascii="仿宋_GB2312" w:hAnsi="微软雅黑" w:eastAsia="仿宋_GB2312" w:cs="仿宋_GB2312"/>
          <w:color w:val="333333"/>
          <w:sz w:val="31"/>
          <w:szCs w:val="31"/>
          <w:shd w:val="clear" w:color="auto" w:fill="FFFFFF"/>
        </w:rPr>
        <w:t>559.83</w:t>
      </w:r>
      <w:r>
        <w:rPr>
          <w:rFonts w:ascii="仿宋_GB2312" w:hAnsi="微软雅黑" w:eastAsia="仿宋_GB2312" w:cs="仿宋_GB2312"/>
          <w:color w:val="333333"/>
          <w:sz w:val="31"/>
          <w:szCs w:val="31"/>
          <w:shd w:val="clear" w:color="auto" w:fill="FFFFFF"/>
        </w:rPr>
        <w:t>万元。其中：办公用房</w:t>
      </w:r>
      <w:r>
        <w:rPr>
          <w:rFonts w:hint="eastAsia" w:ascii="仿宋_GB2312" w:hAnsi="微软雅黑" w:eastAsia="仿宋_GB2312" w:cs="仿宋_GB2312"/>
          <w:color w:val="333333"/>
          <w:sz w:val="31"/>
          <w:szCs w:val="31"/>
          <w:shd w:val="clear" w:color="auto" w:fill="FFFFFF"/>
        </w:rPr>
        <w:t>2561</w:t>
      </w:r>
      <w:r>
        <w:rPr>
          <w:rFonts w:ascii="仿宋_GB2312" w:hAnsi="微软雅黑" w:eastAsia="仿宋_GB2312" w:cs="仿宋_GB2312"/>
          <w:color w:val="333333"/>
          <w:sz w:val="31"/>
          <w:szCs w:val="31"/>
          <w:shd w:val="clear" w:color="auto" w:fill="FFFFFF"/>
        </w:rPr>
        <w:t>平方米，价值</w:t>
      </w:r>
      <w:r>
        <w:rPr>
          <w:rFonts w:hint="eastAsia" w:ascii="仿宋_GB2312" w:hAnsi="微软雅黑" w:eastAsia="仿宋_GB2312" w:cs="仿宋_GB2312"/>
          <w:color w:val="333333"/>
          <w:sz w:val="31"/>
          <w:szCs w:val="31"/>
          <w:shd w:val="clear" w:color="auto" w:fill="FFFFFF"/>
        </w:rPr>
        <w:t>219.08</w:t>
      </w:r>
      <w:r>
        <w:rPr>
          <w:rFonts w:ascii="仿宋_GB2312" w:hAnsi="微软雅黑" w:eastAsia="仿宋_GB2312" w:cs="仿宋_GB2312"/>
          <w:color w:val="333333"/>
          <w:sz w:val="31"/>
          <w:szCs w:val="31"/>
          <w:shd w:val="clear" w:color="auto" w:fill="FFFFFF"/>
        </w:rPr>
        <w:t>万元。</w:t>
      </w:r>
      <w:r>
        <w:rPr>
          <w:rFonts w:hint="eastAsia" w:ascii="仿宋_GB2312" w:hAnsi="仿宋" w:eastAsia="仿宋_GB2312"/>
          <w:sz w:val="32"/>
          <w:szCs w:val="32"/>
        </w:rPr>
        <w:t>预算部门（单位）共有公务用车0辆，价值0万元。单价20万元以上的设备价值0万元。2025年拟采购固定资产约0万元。</w:t>
      </w:r>
    </w:p>
    <w:p w14:paraId="4EC82BED">
      <w:pPr>
        <w:adjustRightInd w:val="0"/>
        <w:snapToGrid w:val="0"/>
        <w:spacing w:line="64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九、其他重要事项情况说明</w:t>
      </w:r>
    </w:p>
    <w:p w14:paraId="704A033B">
      <w:pPr>
        <w:adjustRightInd w:val="0"/>
        <w:snapToGrid w:val="0"/>
        <w:spacing w:line="64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（一）政府性基金预算支出情况</w:t>
      </w:r>
    </w:p>
    <w:p w14:paraId="626AE0FF">
      <w:pPr>
        <w:widowControl/>
        <w:adjustRightInd w:val="0"/>
        <w:snapToGrid w:val="0"/>
        <w:spacing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未安排预算，政府性基金预算支出情况表为空表。</w:t>
      </w:r>
    </w:p>
    <w:p w14:paraId="39468C80">
      <w:pPr>
        <w:adjustRightInd w:val="0"/>
        <w:snapToGrid w:val="0"/>
        <w:spacing w:line="64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（二）非税收入情况</w:t>
      </w:r>
    </w:p>
    <w:p w14:paraId="6288D99F">
      <w:pPr>
        <w:widowControl/>
        <w:adjustRightInd w:val="0"/>
        <w:snapToGrid w:val="0"/>
        <w:spacing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本部门/单位2025年无非税收入。</w:t>
      </w:r>
    </w:p>
    <w:p w14:paraId="3711A1C6">
      <w:pPr>
        <w:adjustRightInd w:val="0"/>
        <w:snapToGrid w:val="0"/>
        <w:spacing w:line="64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（三）重点项目情况</w:t>
      </w:r>
    </w:p>
    <w:p w14:paraId="3A77E9D1">
      <w:pPr>
        <w:widowControl/>
        <w:adjustRightInd w:val="0"/>
        <w:snapToGrid w:val="0"/>
        <w:spacing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本单位年初预算未安排项目支出，无重点项目说明。</w:t>
      </w:r>
    </w:p>
    <w:p w14:paraId="2551DC4E">
      <w:pPr>
        <w:adjustRightInd w:val="0"/>
        <w:snapToGrid w:val="0"/>
        <w:spacing w:line="64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（四）部门管理转移支付情况</w:t>
      </w:r>
    </w:p>
    <w:p w14:paraId="507D6CF5">
      <w:pPr>
        <w:widowControl/>
        <w:adjustRightInd w:val="0"/>
        <w:snapToGrid w:val="0"/>
        <w:spacing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未安排预算，单位管理转移支付表为空表。</w:t>
      </w:r>
    </w:p>
    <w:p w14:paraId="76C9DDEC">
      <w:pPr>
        <w:adjustRightInd w:val="0"/>
        <w:snapToGrid w:val="0"/>
        <w:spacing w:line="64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（五）国有资本经营预算支出情况</w:t>
      </w:r>
    </w:p>
    <w:p w14:paraId="3953AEA8">
      <w:pPr>
        <w:widowControl/>
        <w:adjustRightInd w:val="0"/>
        <w:snapToGrid w:val="0"/>
        <w:spacing w:line="640" w:lineRule="exact"/>
        <w:ind w:firstLine="640" w:firstLineChars="200"/>
        <w:jc w:val="left"/>
        <w:rPr>
          <w:rFonts w:hint="eastAsia" w:ascii="仿宋_GB2312" w:hAnsi="楷体" w:eastAsia="仿宋_GB2312"/>
          <w:sz w:val="32"/>
          <w:szCs w:val="32"/>
        </w:rPr>
      </w:pPr>
      <w:r>
        <w:rPr>
          <w:rFonts w:hint="eastAsia" w:ascii="仿宋_GB2312" w:hAnsi="楷体" w:eastAsia="仿宋_GB2312"/>
          <w:sz w:val="32"/>
          <w:szCs w:val="32"/>
        </w:rPr>
        <w:t>未安排预算，国有资本经营预算支出情况表为空表。</w:t>
      </w:r>
    </w:p>
    <w:p w14:paraId="5A6029B0">
      <w:pPr>
        <w:adjustRightInd w:val="0"/>
        <w:snapToGrid w:val="0"/>
        <w:spacing w:line="640" w:lineRule="exact"/>
        <w:ind w:firstLine="640" w:firstLineChars="200"/>
        <w:rPr>
          <w:rFonts w:hint="eastAsia" w:ascii="黑体" w:hAnsi="黑体" w:eastAsia="黑体" w:cs="宋体"/>
          <w:kern w:val="0"/>
          <w:sz w:val="32"/>
          <w:szCs w:val="32"/>
        </w:rPr>
      </w:pPr>
      <w:r>
        <w:rPr>
          <w:rFonts w:hint="eastAsia" w:ascii="黑体" w:hAnsi="黑体" w:eastAsia="黑体" w:cs="宋体"/>
          <w:kern w:val="0"/>
          <w:sz w:val="32"/>
          <w:szCs w:val="32"/>
        </w:rPr>
        <w:t>十、预算绩效管理情况</w:t>
      </w:r>
    </w:p>
    <w:p w14:paraId="362C29CB">
      <w:pPr>
        <w:adjustRightInd w:val="0"/>
        <w:snapToGrid w:val="0"/>
        <w:spacing w:line="64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（一）2024年预算绩效管理工作情况。</w:t>
      </w:r>
    </w:p>
    <w:p w14:paraId="574C16F4">
      <w:pPr>
        <w:widowControl/>
        <w:adjustRightInd w:val="0"/>
        <w:snapToGrid w:val="0"/>
        <w:spacing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按照《中共中央国务院关于全面实施预算绩效管理的意见》《中共甘肃省委甘肃省人民政府关于全面实施预算绩效管理的实施意见》等相关要求，我们将绩效理念和方法融入预算编制、执行、决算和监督全过程认真开展各项工作。</w:t>
      </w:r>
    </w:p>
    <w:p w14:paraId="1D19700D">
      <w:pPr>
        <w:widowControl/>
        <w:adjustRightInd w:val="0"/>
        <w:snapToGrid w:val="0"/>
        <w:spacing w:line="640" w:lineRule="exact"/>
        <w:ind w:firstLine="643" w:firstLineChars="200"/>
        <w:jc w:val="left"/>
        <w:rPr>
          <w:rFonts w:hint="eastAsia" w:ascii="仿宋_GB2312" w:hAnsi="仿宋" w:eastAsia="仿宋_GB2312"/>
          <w:sz w:val="32"/>
          <w:szCs w:val="32"/>
        </w:rPr>
      </w:pPr>
      <w:r>
        <w:rPr>
          <w:rFonts w:hint="eastAsia" w:ascii="仿宋_GB2312" w:hAnsi="仿宋" w:eastAsia="仿宋_GB2312"/>
          <w:b/>
          <w:sz w:val="32"/>
          <w:szCs w:val="32"/>
        </w:rPr>
        <w:t>1.绩效目标管理情况。</w:t>
      </w:r>
      <w:r>
        <w:rPr>
          <w:rFonts w:hint="eastAsia" w:ascii="仿宋_GB2312" w:hAnsi="仿宋" w:eastAsia="仿宋_GB2312"/>
          <w:sz w:val="32"/>
          <w:szCs w:val="32"/>
        </w:rPr>
        <w:t>2024年度，按照“谁申请资金，谁设置目标”的原则，部门预算管理的</w:t>
      </w:r>
      <w:r>
        <w:rPr>
          <w:rFonts w:hint="eastAsia" w:ascii="仿宋_GB2312" w:hAnsi="CIDFont+F6" w:eastAsia="仿宋_GB2312"/>
          <w:color w:val="000000"/>
          <w:sz w:val="32"/>
          <w:szCs w:val="32"/>
        </w:rPr>
        <w:t>单位</w:t>
      </w:r>
      <w:r>
        <w:rPr>
          <w:rFonts w:hint="eastAsia" w:ascii="仿宋_GB2312" w:hAnsi="仿宋" w:eastAsia="仿宋_GB2312"/>
          <w:sz w:val="32"/>
          <w:szCs w:val="32"/>
        </w:rPr>
        <w:t>整体支出，按规定随年度预算一并公开，公开率为100%。</w:t>
      </w:r>
    </w:p>
    <w:p w14:paraId="73EC5B4A">
      <w:pPr>
        <w:widowControl/>
        <w:adjustRightInd w:val="0"/>
        <w:snapToGrid w:val="0"/>
        <w:spacing w:line="640" w:lineRule="exact"/>
        <w:ind w:firstLine="643" w:firstLineChars="200"/>
        <w:jc w:val="left"/>
        <w:rPr>
          <w:rFonts w:hint="eastAsia" w:ascii="仿宋_GB2312" w:hAnsi="仿宋" w:eastAsia="仿宋_GB2312"/>
          <w:sz w:val="32"/>
          <w:szCs w:val="32"/>
        </w:rPr>
      </w:pPr>
      <w:r>
        <w:rPr>
          <w:rFonts w:hint="eastAsia" w:ascii="仿宋_GB2312" w:hAnsi="仿宋" w:eastAsia="仿宋_GB2312"/>
          <w:b/>
          <w:sz w:val="32"/>
          <w:szCs w:val="32"/>
        </w:rPr>
        <w:t>2.绩效运行监控情况。</w:t>
      </w:r>
      <w:r>
        <w:rPr>
          <w:rFonts w:hint="eastAsia" w:ascii="仿宋_GB2312" w:hAnsi="仿宋" w:eastAsia="仿宋_GB2312"/>
          <w:sz w:val="32"/>
          <w:szCs w:val="32"/>
        </w:rPr>
        <w:t>2024年7月，组织开展1-6月部门整体绩效运行监控，截至12月底，如期完成预算执行和绩效目标指标值的，完成率为100%。</w:t>
      </w:r>
    </w:p>
    <w:p w14:paraId="4D772B68">
      <w:pPr>
        <w:widowControl/>
        <w:adjustRightInd w:val="0"/>
        <w:snapToGrid w:val="0"/>
        <w:spacing w:line="640" w:lineRule="exact"/>
        <w:ind w:firstLine="643" w:firstLineChars="200"/>
        <w:jc w:val="left"/>
        <w:rPr>
          <w:rFonts w:hint="eastAsia" w:ascii="仿宋_GB2312" w:hAnsi="仿宋" w:eastAsia="仿宋_GB2312"/>
          <w:sz w:val="32"/>
          <w:szCs w:val="32"/>
        </w:rPr>
      </w:pPr>
      <w:r>
        <w:rPr>
          <w:rFonts w:hint="eastAsia" w:ascii="仿宋_GB2312" w:hAnsi="仿宋" w:eastAsia="仿宋_GB2312"/>
          <w:b/>
          <w:sz w:val="32"/>
          <w:szCs w:val="32"/>
        </w:rPr>
        <w:t>3.绩效自评开展情况。</w:t>
      </w:r>
      <w:r>
        <w:rPr>
          <w:rFonts w:hint="eastAsia" w:ascii="仿宋_GB2312" w:hAnsi="仿宋" w:eastAsia="仿宋_GB2312"/>
          <w:sz w:val="32"/>
          <w:szCs w:val="32"/>
        </w:rPr>
        <w:t>2024年度，部门（单位）整体支出组织开展绩效自评，绩效自评覆盖率为100%。绩效自评结果随部门决算报送财政和随决算公开情况：已完成单位整体支出绩效自评并报送财政，拟随决算一并公开。</w:t>
      </w:r>
    </w:p>
    <w:p w14:paraId="6FC902A1">
      <w:pPr>
        <w:widowControl/>
        <w:adjustRightInd w:val="0"/>
        <w:snapToGrid w:val="0"/>
        <w:spacing w:line="640" w:lineRule="exact"/>
        <w:ind w:firstLine="643" w:firstLineChars="200"/>
        <w:jc w:val="left"/>
        <w:rPr>
          <w:rFonts w:hint="eastAsia" w:ascii="仿宋_GB2312" w:hAnsi="仿宋" w:eastAsia="仿宋_GB2312"/>
          <w:sz w:val="32"/>
          <w:szCs w:val="32"/>
        </w:rPr>
      </w:pPr>
      <w:r>
        <w:rPr>
          <w:rFonts w:hint="eastAsia" w:ascii="仿宋_GB2312" w:hAnsi="仿宋" w:eastAsia="仿宋_GB2312"/>
          <w:b/>
          <w:sz w:val="32"/>
          <w:szCs w:val="32"/>
        </w:rPr>
        <w:t>4.绩效结果应用情况。</w:t>
      </w:r>
      <w:r>
        <w:rPr>
          <w:rFonts w:hint="eastAsia" w:ascii="仿宋_GB2312" w:hAnsi="仿宋" w:eastAsia="仿宋_GB2312"/>
          <w:sz w:val="32"/>
          <w:szCs w:val="32"/>
        </w:rPr>
        <w:t>根据2024年度绩效运行监控、绩效自评等情况，当年盘活财政资金0万元，2024年度增加（减少）部门预算项目0个，增长率/压减率0 %。同时对政策和项目资金管理作出调整的0 个。</w:t>
      </w:r>
    </w:p>
    <w:p w14:paraId="0D76D021">
      <w:pPr>
        <w:adjustRightInd w:val="0"/>
        <w:snapToGrid w:val="0"/>
        <w:spacing w:line="640" w:lineRule="exact"/>
        <w:ind w:firstLine="643" w:firstLineChars="200"/>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（二）2025年绩效目标编制情况</w:t>
      </w:r>
    </w:p>
    <w:p w14:paraId="221B3C5C">
      <w:pPr>
        <w:widowControl/>
        <w:adjustRightInd w:val="0"/>
        <w:snapToGrid w:val="0"/>
        <w:spacing w:line="64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2025年，其中，部门整体支出绩效目标围绕部门管理、履职效果、能力建设三个维度，设置二级指标11个、三级指标12个；各项绩效目标内容指向明确、细化量化、合理可行，符合规定的格式要求。</w:t>
      </w:r>
    </w:p>
    <w:p w14:paraId="1B6BE290">
      <w:pPr>
        <w:adjustRightInd w:val="0"/>
        <w:snapToGrid w:val="0"/>
        <w:spacing w:line="640" w:lineRule="exact"/>
        <w:ind w:firstLine="643" w:firstLineChars="200"/>
        <w:contextualSpacing/>
        <w:rPr>
          <w:rFonts w:hint="eastAsia" w:ascii="楷体_GB2312" w:hAnsi="楷体" w:eastAsia="楷体_GB2312" w:cs="宋体"/>
          <w:b/>
          <w:bCs/>
          <w:kern w:val="0"/>
          <w:sz w:val="32"/>
          <w:szCs w:val="32"/>
        </w:rPr>
      </w:pPr>
      <w:r>
        <w:rPr>
          <w:rFonts w:hint="eastAsia" w:ascii="楷体_GB2312" w:hAnsi="楷体" w:eastAsia="楷体_GB2312" w:cs="宋体"/>
          <w:b/>
          <w:bCs/>
          <w:kern w:val="0"/>
          <w:sz w:val="32"/>
          <w:szCs w:val="32"/>
        </w:rPr>
        <w:t>十一、名词解释</w:t>
      </w:r>
    </w:p>
    <w:p w14:paraId="476EBD1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1、财政拨款:</w:t>
      </w:r>
      <w:r>
        <w:rPr>
          <w:rFonts w:hint="eastAsia" w:ascii="仿宋_GB2312" w:hAnsi="CIDFont+F6" w:eastAsia="仿宋_GB2312"/>
          <w:color w:val="000000"/>
          <w:sz w:val="32"/>
          <w:szCs w:val="32"/>
        </w:rPr>
        <w:t>指由一般公共预算、政府性基金预算、国有资本经营预算安排的财政拨款数。</w:t>
      </w:r>
    </w:p>
    <w:p w14:paraId="4CC6C57A">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2、一般公共预算:</w:t>
      </w:r>
      <w:r>
        <w:rPr>
          <w:rFonts w:hint="eastAsia" w:ascii="仿宋_GB2312" w:hAnsi="CIDFont+F6" w:eastAsia="仿宋_GB2312"/>
          <w:color w:val="000000"/>
          <w:sz w:val="32"/>
          <w:szCs w:val="32"/>
        </w:rPr>
        <w:t>包括公共财政拨款（补助）资金、专项收入。</w:t>
      </w:r>
    </w:p>
    <w:p w14:paraId="7908A71B">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3、财政专户管理资金:</w:t>
      </w:r>
      <w:r>
        <w:rPr>
          <w:rFonts w:hint="eastAsia" w:ascii="仿宋_GB2312" w:hAnsi="CIDFont+F6" w:eastAsia="仿宋_GB2312"/>
          <w:color w:val="000000"/>
          <w:sz w:val="32"/>
          <w:szCs w:val="32"/>
        </w:rPr>
        <w:t>包括专户管理行政事业性收费（主要是教育收费）、其他非税收入。</w:t>
      </w:r>
    </w:p>
    <w:p w14:paraId="4CE172D2">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4、其他资金:</w:t>
      </w:r>
      <w:r>
        <w:rPr>
          <w:rFonts w:hint="eastAsia" w:ascii="仿宋_GB2312" w:hAnsi="CIDFont+F6" w:eastAsia="仿宋_GB2312"/>
          <w:color w:val="000000"/>
          <w:sz w:val="32"/>
          <w:szCs w:val="32"/>
        </w:rPr>
        <w:t>包括事业收入、事业经营收入、其他收入等。</w:t>
      </w:r>
    </w:p>
    <w:p w14:paraId="6D5803A7">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5、基本支出:</w:t>
      </w:r>
      <w:r>
        <w:rPr>
          <w:rFonts w:hint="eastAsia" w:ascii="仿宋_GB2312" w:hAnsi="CIDFont+F6" w:eastAsia="仿宋_GB2312"/>
          <w:color w:val="000000"/>
          <w:sz w:val="32"/>
          <w:szCs w:val="32"/>
        </w:rPr>
        <w:t>包括人员经费、公用经费（定额）。其中，人员经费包括工资福利支出、对个人和家庭的补助。</w:t>
      </w:r>
    </w:p>
    <w:p w14:paraId="696C919E">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6、项目支出:</w:t>
      </w:r>
      <w:r>
        <w:rPr>
          <w:rFonts w:hint="eastAsia" w:ascii="仿宋_GB2312" w:hAnsi="CIDFont+F6" w:eastAsia="仿宋_GB2312"/>
          <w:color w:val="000000"/>
          <w:sz w:val="32"/>
          <w:szCs w:val="32"/>
        </w:rPr>
        <w:t>部门（单位）支出预算的组成部分，是各部门（单位）为完成其特定的行政任务或事业发展目标，在基本支出预算之外编制的年度项目支出计划。</w:t>
      </w:r>
    </w:p>
    <w:p w14:paraId="3E4D9AA1">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7、“三公”经费:</w:t>
      </w:r>
      <w:r>
        <w:rPr>
          <w:rFonts w:hint="eastAsia" w:ascii="仿宋_GB2312" w:hAnsi="CIDFont+F6" w:eastAsia="仿宋_GB2312"/>
          <w:color w:val="000000"/>
          <w:sz w:val="32"/>
          <w:szCs w:val="32"/>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14:paraId="4CA7FF0F">
      <w:pPr>
        <w:adjustRightInd w:val="0"/>
        <w:snapToGrid w:val="0"/>
        <w:spacing w:line="640" w:lineRule="exact"/>
        <w:ind w:firstLine="643" w:firstLineChars="200"/>
        <w:contextualSpacing/>
        <w:rPr>
          <w:rFonts w:hint="eastAsia" w:ascii="仿宋_GB2312" w:hAnsi="CIDFont+F6" w:eastAsia="仿宋_GB2312"/>
          <w:color w:val="000000"/>
          <w:sz w:val="32"/>
          <w:szCs w:val="32"/>
        </w:rPr>
      </w:pPr>
      <w:r>
        <w:rPr>
          <w:rFonts w:hint="eastAsia" w:ascii="仿宋_GB2312" w:hAnsi="CIDFont+F4" w:eastAsia="仿宋_GB2312"/>
          <w:b/>
          <w:color w:val="000000"/>
          <w:sz w:val="32"/>
          <w:szCs w:val="32"/>
        </w:rPr>
        <w:t>8、机关运行经费:</w:t>
      </w:r>
      <w:r>
        <w:rPr>
          <w:rFonts w:hint="eastAsia" w:ascii="仿宋_GB2312" w:hAnsi="CIDFont+F6" w:eastAsia="仿宋_GB2312"/>
          <w:color w:val="000000"/>
          <w:sz w:val="32"/>
          <w:szCs w:val="32"/>
        </w:rPr>
        <w:t>为保障行政单位（包括实行公务员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53FCEBD">
      <w:pPr>
        <w:adjustRightInd w:val="0"/>
        <w:snapToGrid w:val="0"/>
        <w:spacing w:line="640" w:lineRule="exact"/>
        <w:contextualSpacing/>
        <w:jc w:val="right"/>
        <w:rPr>
          <w:rFonts w:hint="eastAsia" w:ascii="仿宋_GB2312" w:hAnsi="CIDFont+F6" w:eastAsia="仿宋_GB2312"/>
          <w:color w:val="000000"/>
          <w:sz w:val="32"/>
          <w:szCs w:val="32"/>
        </w:rPr>
      </w:pPr>
    </w:p>
    <w:p w14:paraId="7BF108C1">
      <w:pPr>
        <w:adjustRightInd w:val="0"/>
        <w:snapToGrid w:val="0"/>
        <w:spacing w:line="640" w:lineRule="exact"/>
        <w:ind w:right="1280"/>
        <w:contextualSpacing/>
        <w:jc w:val="right"/>
        <w:rPr>
          <w:rFonts w:hint="eastAsia" w:ascii="仿宋_GB2312" w:hAnsi="CIDFont+F6" w:eastAsia="仿宋_GB2312"/>
          <w:color w:val="000000"/>
          <w:sz w:val="32"/>
          <w:szCs w:val="32"/>
        </w:rPr>
      </w:pPr>
      <w:r>
        <w:rPr>
          <w:rFonts w:hint="eastAsia" w:ascii="仿宋_GB2312" w:hAnsi="CIDFont+F6" w:eastAsia="仿宋_GB2312"/>
          <w:color w:val="000000"/>
          <w:sz w:val="32"/>
          <w:szCs w:val="32"/>
        </w:rPr>
        <w:t>华池县幼儿园</w:t>
      </w:r>
    </w:p>
    <w:p w14:paraId="77E85168">
      <w:pPr>
        <w:adjustRightInd w:val="0"/>
        <w:snapToGrid w:val="0"/>
        <w:spacing w:line="640" w:lineRule="exact"/>
        <w:ind w:right="1120"/>
        <w:contextualSpacing/>
        <w:jc w:val="right"/>
        <w:rPr>
          <w:rFonts w:ascii="仿宋_GB2312" w:eastAsia="仿宋_GB2312"/>
          <w:sz w:val="32"/>
          <w:szCs w:val="32"/>
        </w:rPr>
      </w:pPr>
      <w:r>
        <w:rPr>
          <w:rFonts w:hint="eastAsia" w:ascii="仿宋_GB2312" w:hAnsi="CIDFont+F6" w:eastAsia="仿宋_GB2312"/>
          <w:color w:val="000000"/>
          <w:sz w:val="32"/>
          <w:szCs w:val="32"/>
        </w:rPr>
        <w:t>2025年2月11日</w:t>
      </w:r>
    </w:p>
    <w:p w14:paraId="104DAE91">
      <w:pPr>
        <w:adjustRightInd w:val="0"/>
        <w:snapToGrid w:val="0"/>
        <w:spacing w:line="640" w:lineRule="exact"/>
        <w:ind w:firstLine="640" w:firstLineChars="200"/>
        <w:contextualSpacing/>
        <w:rPr>
          <w:rFonts w:hint="eastAsia" w:ascii="仿宋_GB2312" w:hAnsi="宋体" w:eastAsia="仿宋_GB2312" w:cs="宋体"/>
          <w:kern w:val="0"/>
          <w:sz w:val="32"/>
          <w:szCs w:val="32"/>
        </w:rPr>
      </w:pPr>
    </w:p>
    <w:p w14:paraId="0358EE45">
      <w:pPr>
        <w:adjustRightInd w:val="0"/>
        <w:snapToGrid w:val="0"/>
        <w:spacing w:line="640" w:lineRule="exact"/>
        <w:ind w:firstLine="640" w:firstLineChars="200"/>
        <w:contextualSpacing/>
        <w:rPr>
          <w:rFonts w:hint="eastAsia" w:ascii="仿宋_GB2312" w:hAnsi="宋体" w:eastAsia="仿宋_GB2312" w:cs="宋体"/>
          <w:spacing w:val="-20"/>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spacing w:val="-20"/>
          <w:kern w:val="0"/>
          <w:sz w:val="32"/>
          <w:szCs w:val="32"/>
        </w:rPr>
        <w:t>1.华池县幼儿园 2025年</w:t>
      </w:r>
      <w:r>
        <w:rPr>
          <w:rFonts w:hint="eastAsia" w:ascii="仿宋_GB2312" w:hAnsi="CIDFont+F6" w:eastAsia="仿宋_GB2312"/>
          <w:color w:val="000000"/>
          <w:sz w:val="32"/>
          <w:szCs w:val="32"/>
        </w:rPr>
        <w:t>部门</w:t>
      </w:r>
      <w:r>
        <w:rPr>
          <w:rFonts w:hint="eastAsia" w:ascii="仿宋_GB2312" w:hAnsi="宋体" w:eastAsia="仿宋_GB2312" w:cs="宋体"/>
          <w:spacing w:val="-20"/>
          <w:kern w:val="0"/>
          <w:sz w:val="32"/>
          <w:szCs w:val="32"/>
        </w:rPr>
        <w:t>预算公开表</w:t>
      </w:r>
    </w:p>
    <w:p w14:paraId="4E90257E">
      <w:pPr>
        <w:adjustRightInd w:val="0"/>
        <w:snapToGrid w:val="0"/>
        <w:spacing w:line="640" w:lineRule="exact"/>
        <w:ind w:left="1796" w:leftChars="767" w:hanging="185" w:hangingChars="58"/>
        <w:contextualSpacing/>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2.华池县幼儿园2025年</w:t>
      </w:r>
      <w:r>
        <w:rPr>
          <w:rFonts w:hint="eastAsia" w:ascii="仿宋_GB2312" w:hAnsi="CIDFont+F6" w:eastAsia="仿宋_GB2312"/>
          <w:color w:val="000000"/>
          <w:sz w:val="32"/>
          <w:szCs w:val="32"/>
        </w:rPr>
        <w:t>部门</w:t>
      </w:r>
      <w:bookmarkStart w:id="0" w:name="_GoBack"/>
      <w:bookmarkEnd w:id="0"/>
      <w:r>
        <w:rPr>
          <w:rFonts w:hint="eastAsia" w:ascii="仿宋_GB2312" w:hAnsi="宋体" w:eastAsia="仿宋_GB2312" w:cs="宋体"/>
          <w:kern w:val="0"/>
          <w:sz w:val="32"/>
          <w:szCs w:val="32"/>
        </w:rPr>
        <w:t>整体支出绩效目标及预算项目绩效目标表</w:t>
      </w:r>
    </w:p>
    <w:p w14:paraId="22DB4760">
      <w:pPr>
        <w:tabs>
          <w:tab w:val="left" w:pos="1272"/>
        </w:tabs>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TimesNewRomanPSMT">
    <w:altName w:val="DejaVu Sans"/>
    <w:panose1 w:val="00000000000000000000"/>
    <w:charset w:val="00"/>
    <w:family w:val="roman"/>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imesNewRomanPS-BoldMT">
    <w:altName w:val="DejaVu Sans"/>
    <w:panose1 w:val="00000000000000000000"/>
    <w:charset w:val="00"/>
    <w:family w:val="roman"/>
    <w:pitch w:val="default"/>
    <w:sig w:usb0="00000000" w:usb1="00000000" w:usb2="00000000" w:usb3="00000000" w:csb0="00000000" w:csb1="00000000"/>
  </w:font>
  <w:font w:name="CIDFont+F6">
    <w:altName w:val="国标仿宋"/>
    <w:panose1 w:val="00000000000000000000"/>
    <w:charset w:val="00"/>
    <w:family w:val="roman"/>
    <w:pitch w:val="default"/>
    <w:sig w:usb0="00000000" w:usb1="00000000" w:usb2="00000000" w:usb3="00000000" w:csb0="00000000" w:csb1="00000000"/>
  </w:font>
  <w:font w:name="国标仿宋">
    <w:panose1 w:val="02000500000000000000"/>
    <w:charset w:val="86"/>
    <w:family w:val="auto"/>
    <w:pitch w:val="default"/>
    <w:sig w:usb0="A00002BF" w:usb1="38C77CFA" w:usb2="00000016" w:usb3="00000000" w:csb0="00060007" w:csb1="00000000"/>
  </w:font>
  <w:font w:name="CIDFont+F4">
    <w:altName w:val="国标仿宋"/>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BF69E">
    <w:pPr>
      <w:pStyle w:val="5"/>
      <w:jc w:val="center"/>
    </w:pPr>
  </w:p>
  <w:p w14:paraId="18AFAB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97CB3">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0B353">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C854A">
    <w:pPr>
      <w:pStyle w:val="5"/>
      <w:jc w:val="center"/>
    </w:pPr>
    <w:r>
      <w:fldChar w:fldCharType="begin"/>
    </w:r>
    <w:r>
      <w:instrText xml:space="preserve">PAGE   \* MERGEFORMAT</w:instrText>
    </w:r>
    <w:r>
      <w:fldChar w:fldCharType="separate"/>
    </w:r>
    <w:r>
      <w:rPr>
        <w:lang w:val="zh-CN"/>
      </w:rPr>
      <w:t>27</w:t>
    </w:r>
    <w:r>
      <w:fldChar w:fldCharType="end"/>
    </w:r>
  </w:p>
  <w:p w14:paraId="7F222DA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AA530">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CEDE">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2241F">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JlYWUyNDk5ODYxZThiY2E2YjcwNDk0NWY5NzJlZTQifQ=="/>
  </w:docVars>
  <w:rsids>
    <w:rsidRoot w:val="00FB4362"/>
    <w:rsid w:val="00000C55"/>
    <w:rsid w:val="00001446"/>
    <w:rsid w:val="0001130C"/>
    <w:rsid w:val="00011F27"/>
    <w:rsid w:val="00012457"/>
    <w:rsid w:val="00021BBF"/>
    <w:rsid w:val="00030443"/>
    <w:rsid w:val="00030F4C"/>
    <w:rsid w:val="0003278A"/>
    <w:rsid w:val="000368FE"/>
    <w:rsid w:val="00042A06"/>
    <w:rsid w:val="00043601"/>
    <w:rsid w:val="000442B5"/>
    <w:rsid w:val="0004639D"/>
    <w:rsid w:val="000465E2"/>
    <w:rsid w:val="0005161F"/>
    <w:rsid w:val="000547D1"/>
    <w:rsid w:val="00055759"/>
    <w:rsid w:val="000612EE"/>
    <w:rsid w:val="00061BAF"/>
    <w:rsid w:val="0006337D"/>
    <w:rsid w:val="00074626"/>
    <w:rsid w:val="00076B62"/>
    <w:rsid w:val="00082093"/>
    <w:rsid w:val="000861D5"/>
    <w:rsid w:val="0009273A"/>
    <w:rsid w:val="000A20A7"/>
    <w:rsid w:val="000A655B"/>
    <w:rsid w:val="000B54DD"/>
    <w:rsid w:val="000C2055"/>
    <w:rsid w:val="000C2B7F"/>
    <w:rsid w:val="000C37BE"/>
    <w:rsid w:val="000C4C50"/>
    <w:rsid w:val="000D0130"/>
    <w:rsid w:val="000D2EEE"/>
    <w:rsid w:val="000D2F19"/>
    <w:rsid w:val="000E0CEA"/>
    <w:rsid w:val="000E3545"/>
    <w:rsid w:val="000F3CBF"/>
    <w:rsid w:val="000F3F42"/>
    <w:rsid w:val="000F473D"/>
    <w:rsid w:val="001017F3"/>
    <w:rsid w:val="0011297B"/>
    <w:rsid w:val="00123768"/>
    <w:rsid w:val="00126B08"/>
    <w:rsid w:val="001272E5"/>
    <w:rsid w:val="00127D01"/>
    <w:rsid w:val="00130F5F"/>
    <w:rsid w:val="001374F5"/>
    <w:rsid w:val="00152FDC"/>
    <w:rsid w:val="001561FD"/>
    <w:rsid w:val="0015647B"/>
    <w:rsid w:val="00156619"/>
    <w:rsid w:val="00156C8B"/>
    <w:rsid w:val="00160A8C"/>
    <w:rsid w:val="001700B4"/>
    <w:rsid w:val="00171070"/>
    <w:rsid w:val="001A416A"/>
    <w:rsid w:val="001A6118"/>
    <w:rsid w:val="001B0364"/>
    <w:rsid w:val="001B0B8E"/>
    <w:rsid w:val="001B342F"/>
    <w:rsid w:val="001C1259"/>
    <w:rsid w:val="001D1DA7"/>
    <w:rsid w:val="001E17E4"/>
    <w:rsid w:val="001E2410"/>
    <w:rsid w:val="001E347C"/>
    <w:rsid w:val="001E6110"/>
    <w:rsid w:val="001F3C4D"/>
    <w:rsid w:val="002033EA"/>
    <w:rsid w:val="00214046"/>
    <w:rsid w:val="0022561F"/>
    <w:rsid w:val="00232DBE"/>
    <w:rsid w:val="002355E7"/>
    <w:rsid w:val="00235F73"/>
    <w:rsid w:val="0023681E"/>
    <w:rsid w:val="00241FEC"/>
    <w:rsid w:val="00243562"/>
    <w:rsid w:val="0025164A"/>
    <w:rsid w:val="00265C3D"/>
    <w:rsid w:val="00266C2E"/>
    <w:rsid w:val="00270DF8"/>
    <w:rsid w:val="002754B3"/>
    <w:rsid w:val="0028392B"/>
    <w:rsid w:val="002934F2"/>
    <w:rsid w:val="002A3A19"/>
    <w:rsid w:val="002A3ED4"/>
    <w:rsid w:val="002A7274"/>
    <w:rsid w:val="002B2833"/>
    <w:rsid w:val="002B7BA1"/>
    <w:rsid w:val="002C01BB"/>
    <w:rsid w:val="002C3FA4"/>
    <w:rsid w:val="002E2161"/>
    <w:rsid w:val="002E30F2"/>
    <w:rsid w:val="002E4E72"/>
    <w:rsid w:val="002F0CE0"/>
    <w:rsid w:val="002F4ED9"/>
    <w:rsid w:val="002F75FE"/>
    <w:rsid w:val="002F7FA5"/>
    <w:rsid w:val="003017F4"/>
    <w:rsid w:val="00301AAB"/>
    <w:rsid w:val="00306B68"/>
    <w:rsid w:val="003129FE"/>
    <w:rsid w:val="003322AC"/>
    <w:rsid w:val="00335342"/>
    <w:rsid w:val="00343A8E"/>
    <w:rsid w:val="00345713"/>
    <w:rsid w:val="003566B9"/>
    <w:rsid w:val="00356C98"/>
    <w:rsid w:val="0036367B"/>
    <w:rsid w:val="0036496C"/>
    <w:rsid w:val="00365414"/>
    <w:rsid w:val="00372734"/>
    <w:rsid w:val="00372A33"/>
    <w:rsid w:val="0037374A"/>
    <w:rsid w:val="00377A88"/>
    <w:rsid w:val="00392E2B"/>
    <w:rsid w:val="003A396F"/>
    <w:rsid w:val="003A68FD"/>
    <w:rsid w:val="003A7A18"/>
    <w:rsid w:val="003B3187"/>
    <w:rsid w:val="003B327A"/>
    <w:rsid w:val="003B4612"/>
    <w:rsid w:val="003B76D2"/>
    <w:rsid w:val="003D6D41"/>
    <w:rsid w:val="003E3B0A"/>
    <w:rsid w:val="0040581D"/>
    <w:rsid w:val="00417BF3"/>
    <w:rsid w:val="00425D21"/>
    <w:rsid w:val="00426463"/>
    <w:rsid w:val="00427875"/>
    <w:rsid w:val="004317A0"/>
    <w:rsid w:val="0043556D"/>
    <w:rsid w:val="0043739B"/>
    <w:rsid w:val="00441579"/>
    <w:rsid w:val="004418B5"/>
    <w:rsid w:val="00445789"/>
    <w:rsid w:val="00463FB8"/>
    <w:rsid w:val="00480A2F"/>
    <w:rsid w:val="00480B47"/>
    <w:rsid w:val="00481F19"/>
    <w:rsid w:val="00487BC0"/>
    <w:rsid w:val="00490FF8"/>
    <w:rsid w:val="004A1851"/>
    <w:rsid w:val="004B337A"/>
    <w:rsid w:val="004B5538"/>
    <w:rsid w:val="004C3127"/>
    <w:rsid w:val="004D27C3"/>
    <w:rsid w:val="004D44D2"/>
    <w:rsid w:val="004D491E"/>
    <w:rsid w:val="004E3E51"/>
    <w:rsid w:val="004E625A"/>
    <w:rsid w:val="004F73BD"/>
    <w:rsid w:val="00502474"/>
    <w:rsid w:val="00515110"/>
    <w:rsid w:val="00523062"/>
    <w:rsid w:val="00532434"/>
    <w:rsid w:val="00537019"/>
    <w:rsid w:val="0054271B"/>
    <w:rsid w:val="00545281"/>
    <w:rsid w:val="00551A39"/>
    <w:rsid w:val="00566585"/>
    <w:rsid w:val="00580A2F"/>
    <w:rsid w:val="005A2CB7"/>
    <w:rsid w:val="005B15C7"/>
    <w:rsid w:val="005B51EA"/>
    <w:rsid w:val="005C6B92"/>
    <w:rsid w:val="005F4CC9"/>
    <w:rsid w:val="0060056E"/>
    <w:rsid w:val="006039C9"/>
    <w:rsid w:val="00605602"/>
    <w:rsid w:val="00605D22"/>
    <w:rsid w:val="00620A03"/>
    <w:rsid w:val="00621126"/>
    <w:rsid w:val="0062145A"/>
    <w:rsid w:val="00633C60"/>
    <w:rsid w:val="00645C9F"/>
    <w:rsid w:val="00650775"/>
    <w:rsid w:val="0065388D"/>
    <w:rsid w:val="00655506"/>
    <w:rsid w:val="00674396"/>
    <w:rsid w:val="006849AD"/>
    <w:rsid w:val="006853A7"/>
    <w:rsid w:val="0069507F"/>
    <w:rsid w:val="006955DD"/>
    <w:rsid w:val="00697A98"/>
    <w:rsid w:val="006A0492"/>
    <w:rsid w:val="006A3DED"/>
    <w:rsid w:val="006A6E23"/>
    <w:rsid w:val="006B05FF"/>
    <w:rsid w:val="006C4D2E"/>
    <w:rsid w:val="006D3D60"/>
    <w:rsid w:val="006E1F9C"/>
    <w:rsid w:val="006E4A2C"/>
    <w:rsid w:val="006E721A"/>
    <w:rsid w:val="006F0E11"/>
    <w:rsid w:val="006F40C8"/>
    <w:rsid w:val="00700872"/>
    <w:rsid w:val="00706BB4"/>
    <w:rsid w:val="00714029"/>
    <w:rsid w:val="007203B6"/>
    <w:rsid w:val="007222C1"/>
    <w:rsid w:val="00725205"/>
    <w:rsid w:val="0074091B"/>
    <w:rsid w:val="00740927"/>
    <w:rsid w:val="00744302"/>
    <w:rsid w:val="00747C60"/>
    <w:rsid w:val="007732EA"/>
    <w:rsid w:val="00777EA3"/>
    <w:rsid w:val="007933F9"/>
    <w:rsid w:val="00793C7B"/>
    <w:rsid w:val="007954B6"/>
    <w:rsid w:val="007A5E22"/>
    <w:rsid w:val="007B3768"/>
    <w:rsid w:val="007B5395"/>
    <w:rsid w:val="007C38FB"/>
    <w:rsid w:val="007C6434"/>
    <w:rsid w:val="007D4E4C"/>
    <w:rsid w:val="007D5F13"/>
    <w:rsid w:val="007D69F8"/>
    <w:rsid w:val="007E4819"/>
    <w:rsid w:val="007E4E03"/>
    <w:rsid w:val="007E7289"/>
    <w:rsid w:val="00805F3F"/>
    <w:rsid w:val="00817A5D"/>
    <w:rsid w:val="00821209"/>
    <w:rsid w:val="00821491"/>
    <w:rsid w:val="00831411"/>
    <w:rsid w:val="00842536"/>
    <w:rsid w:val="00843692"/>
    <w:rsid w:val="0085135B"/>
    <w:rsid w:val="0085287C"/>
    <w:rsid w:val="008559B6"/>
    <w:rsid w:val="008559FD"/>
    <w:rsid w:val="00855E65"/>
    <w:rsid w:val="0085612E"/>
    <w:rsid w:val="00880868"/>
    <w:rsid w:val="00880D30"/>
    <w:rsid w:val="008811AD"/>
    <w:rsid w:val="008812FA"/>
    <w:rsid w:val="008A41D9"/>
    <w:rsid w:val="008B222B"/>
    <w:rsid w:val="008C138F"/>
    <w:rsid w:val="008C204C"/>
    <w:rsid w:val="008C2625"/>
    <w:rsid w:val="008C4FE2"/>
    <w:rsid w:val="008D4D6A"/>
    <w:rsid w:val="008F7014"/>
    <w:rsid w:val="009049E9"/>
    <w:rsid w:val="00907F9B"/>
    <w:rsid w:val="00911503"/>
    <w:rsid w:val="00917C2D"/>
    <w:rsid w:val="009209B6"/>
    <w:rsid w:val="00923CB4"/>
    <w:rsid w:val="009335E0"/>
    <w:rsid w:val="00941732"/>
    <w:rsid w:val="009510F3"/>
    <w:rsid w:val="00954018"/>
    <w:rsid w:val="00955590"/>
    <w:rsid w:val="00970435"/>
    <w:rsid w:val="009704EC"/>
    <w:rsid w:val="00971619"/>
    <w:rsid w:val="00982EAB"/>
    <w:rsid w:val="00984B4A"/>
    <w:rsid w:val="0098505E"/>
    <w:rsid w:val="00991480"/>
    <w:rsid w:val="009945A7"/>
    <w:rsid w:val="00995E63"/>
    <w:rsid w:val="0099643D"/>
    <w:rsid w:val="009969DC"/>
    <w:rsid w:val="00996BA5"/>
    <w:rsid w:val="009A0F79"/>
    <w:rsid w:val="009A3C75"/>
    <w:rsid w:val="009B03F2"/>
    <w:rsid w:val="009C4EE2"/>
    <w:rsid w:val="009D46B1"/>
    <w:rsid w:val="009E7F6E"/>
    <w:rsid w:val="009F2B6A"/>
    <w:rsid w:val="009F5541"/>
    <w:rsid w:val="00A01204"/>
    <w:rsid w:val="00A022BA"/>
    <w:rsid w:val="00A256AC"/>
    <w:rsid w:val="00A32BE3"/>
    <w:rsid w:val="00A4207A"/>
    <w:rsid w:val="00A5653E"/>
    <w:rsid w:val="00A63533"/>
    <w:rsid w:val="00A723C4"/>
    <w:rsid w:val="00A72D2B"/>
    <w:rsid w:val="00A820E9"/>
    <w:rsid w:val="00A82942"/>
    <w:rsid w:val="00A83E24"/>
    <w:rsid w:val="00AA20F8"/>
    <w:rsid w:val="00AA327B"/>
    <w:rsid w:val="00AA55AF"/>
    <w:rsid w:val="00AB19A5"/>
    <w:rsid w:val="00AC2FD6"/>
    <w:rsid w:val="00AC78FC"/>
    <w:rsid w:val="00AD4CFE"/>
    <w:rsid w:val="00AE79BA"/>
    <w:rsid w:val="00AF350E"/>
    <w:rsid w:val="00AF3D8F"/>
    <w:rsid w:val="00AF5273"/>
    <w:rsid w:val="00AF5D3D"/>
    <w:rsid w:val="00B0671C"/>
    <w:rsid w:val="00B13495"/>
    <w:rsid w:val="00B177E3"/>
    <w:rsid w:val="00B262DD"/>
    <w:rsid w:val="00B278DE"/>
    <w:rsid w:val="00B30287"/>
    <w:rsid w:val="00B30EBD"/>
    <w:rsid w:val="00B351C3"/>
    <w:rsid w:val="00B36AC9"/>
    <w:rsid w:val="00B36E7A"/>
    <w:rsid w:val="00B542CD"/>
    <w:rsid w:val="00B6465B"/>
    <w:rsid w:val="00B772D7"/>
    <w:rsid w:val="00B85451"/>
    <w:rsid w:val="00B86006"/>
    <w:rsid w:val="00B86D86"/>
    <w:rsid w:val="00BA2A96"/>
    <w:rsid w:val="00BA5FE5"/>
    <w:rsid w:val="00BC1FD9"/>
    <w:rsid w:val="00BC30FF"/>
    <w:rsid w:val="00BC500D"/>
    <w:rsid w:val="00BD7FD7"/>
    <w:rsid w:val="00BF1606"/>
    <w:rsid w:val="00BF1647"/>
    <w:rsid w:val="00BF5A25"/>
    <w:rsid w:val="00C06428"/>
    <w:rsid w:val="00C11347"/>
    <w:rsid w:val="00C35018"/>
    <w:rsid w:val="00C40A34"/>
    <w:rsid w:val="00C4484E"/>
    <w:rsid w:val="00C46F7C"/>
    <w:rsid w:val="00C519B5"/>
    <w:rsid w:val="00C55EDB"/>
    <w:rsid w:val="00C573E9"/>
    <w:rsid w:val="00C729DA"/>
    <w:rsid w:val="00C764B7"/>
    <w:rsid w:val="00C836DB"/>
    <w:rsid w:val="00C90B56"/>
    <w:rsid w:val="00CA3F25"/>
    <w:rsid w:val="00CB5B9D"/>
    <w:rsid w:val="00CB6428"/>
    <w:rsid w:val="00CC01A5"/>
    <w:rsid w:val="00CC2134"/>
    <w:rsid w:val="00CD255A"/>
    <w:rsid w:val="00D126EC"/>
    <w:rsid w:val="00D14955"/>
    <w:rsid w:val="00D24CD6"/>
    <w:rsid w:val="00D24FA6"/>
    <w:rsid w:val="00D544D2"/>
    <w:rsid w:val="00D660F8"/>
    <w:rsid w:val="00D744C5"/>
    <w:rsid w:val="00D827AF"/>
    <w:rsid w:val="00D84489"/>
    <w:rsid w:val="00D8451F"/>
    <w:rsid w:val="00D8474D"/>
    <w:rsid w:val="00D84D5B"/>
    <w:rsid w:val="00D86771"/>
    <w:rsid w:val="00D90C73"/>
    <w:rsid w:val="00D90F17"/>
    <w:rsid w:val="00D9480E"/>
    <w:rsid w:val="00D94FFD"/>
    <w:rsid w:val="00DA7038"/>
    <w:rsid w:val="00DB4AF2"/>
    <w:rsid w:val="00DB572A"/>
    <w:rsid w:val="00DC14B3"/>
    <w:rsid w:val="00DC399C"/>
    <w:rsid w:val="00DC7D6D"/>
    <w:rsid w:val="00DD2999"/>
    <w:rsid w:val="00DD2B43"/>
    <w:rsid w:val="00DD2CF8"/>
    <w:rsid w:val="00DD5C58"/>
    <w:rsid w:val="00DE240B"/>
    <w:rsid w:val="00DE529C"/>
    <w:rsid w:val="00DE6D9E"/>
    <w:rsid w:val="00DF3482"/>
    <w:rsid w:val="00DF450F"/>
    <w:rsid w:val="00DF50CE"/>
    <w:rsid w:val="00E04A58"/>
    <w:rsid w:val="00E07425"/>
    <w:rsid w:val="00E07A05"/>
    <w:rsid w:val="00E16025"/>
    <w:rsid w:val="00E167FD"/>
    <w:rsid w:val="00E16F50"/>
    <w:rsid w:val="00E24179"/>
    <w:rsid w:val="00E31783"/>
    <w:rsid w:val="00E36636"/>
    <w:rsid w:val="00E43A34"/>
    <w:rsid w:val="00E44D37"/>
    <w:rsid w:val="00E52850"/>
    <w:rsid w:val="00E609A5"/>
    <w:rsid w:val="00E61928"/>
    <w:rsid w:val="00E656D2"/>
    <w:rsid w:val="00E7276C"/>
    <w:rsid w:val="00E84382"/>
    <w:rsid w:val="00E9180B"/>
    <w:rsid w:val="00EA0646"/>
    <w:rsid w:val="00EA2BA4"/>
    <w:rsid w:val="00EA3103"/>
    <w:rsid w:val="00EB15C1"/>
    <w:rsid w:val="00EC325A"/>
    <w:rsid w:val="00EC3A8E"/>
    <w:rsid w:val="00EC57F0"/>
    <w:rsid w:val="00ED68AF"/>
    <w:rsid w:val="00EF2E7C"/>
    <w:rsid w:val="00F01A6E"/>
    <w:rsid w:val="00F11811"/>
    <w:rsid w:val="00F20178"/>
    <w:rsid w:val="00F23C6C"/>
    <w:rsid w:val="00F24BC8"/>
    <w:rsid w:val="00F25045"/>
    <w:rsid w:val="00F30F3E"/>
    <w:rsid w:val="00F32002"/>
    <w:rsid w:val="00F4605D"/>
    <w:rsid w:val="00F51EF5"/>
    <w:rsid w:val="00F74928"/>
    <w:rsid w:val="00F8197E"/>
    <w:rsid w:val="00F833B1"/>
    <w:rsid w:val="00F87D90"/>
    <w:rsid w:val="00F90495"/>
    <w:rsid w:val="00FA4179"/>
    <w:rsid w:val="00FB4362"/>
    <w:rsid w:val="00FB53A1"/>
    <w:rsid w:val="00FD30CF"/>
    <w:rsid w:val="00FD5071"/>
    <w:rsid w:val="00FE0E46"/>
    <w:rsid w:val="00FF0AEC"/>
    <w:rsid w:val="00FF1DF4"/>
    <w:rsid w:val="00FF4165"/>
    <w:rsid w:val="02E03DF9"/>
    <w:rsid w:val="113741D2"/>
    <w:rsid w:val="18330BA7"/>
    <w:rsid w:val="1D34261E"/>
    <w:rsid w:val="42A05423"/>
    <w:rsid w:val="4C433C79"/>
    <w:rsid w:val="527E074E"/>
    <w:rsid w:val="56393C72"/>
    <w:rsid w:val="579503FF"/>
    <w:rsid w:val="60535296"/>
    <w:rsid w:val="72FD2525"/>
    <w:rsid w:val="78106856"/>
    <w:rsid w:val="DDDDD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7"/>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autoRedefine/>
    <w:qFormat/>
    <w:uiPriority w:val="0"/>
    <w:pPr>
      <w:jc w:val="left"/>
    </w:pPr>
  </w:style>
  <w:style w:type="paragraph" w:styleId="4">
    <w:name w:val="Balloon Text"/>
    <w:basedOn w:val="1"/>
    <w:link w:val="16"/>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0"/>
    <w:pPr>
      <w:spacing w:beforeAutospacing="1" w:afterAutospacing="1"/>
      <w:jc w:val="left"/>
    </w:pPr>
    <w:rPr>
      <w:kern w:val="0"/>
      <w:sz w:val="24"/>
    </w:rPr>
  </w:style>
  <w:style w:type="paragraph" w:styleId="8">
    <w:name w:val="annotation subject"/>
    <w:basedOn w:val="3"/>
    <w:next w:val="3"/>
    <w:link w:val="20"/>
    <w:autoRedefine/>
    <w:qFormat/>
    <w:uiPriority w:val="0"/>
    <w:rPr>
      <w:b/>
      <w:bCs/>
    </w:rPr>
  </w:style>
  <w:style w:type="character" w:styleId="11">
    <w:name w:val="line number"/>
    <w:autoRedefine/>
    <w:qFormat/>
    <w:uiPriority w:val="0"/>
  </w:style>
  <w:style w:type="character" w:styleId="12">
    <w:name w:val="annotation reference"/>
    <w:autoRedefine/>
    <w:qFormat/>
    <w:uiPriority w:val="0"/>
    <w:rPr>
      <w:sz w:val="21"/>
      <w:szCs w:val="21"/>
    </w:rPr>
  </w:style>
  <w:style w:type="character" w:customStyle="1" w:styleId="13">
    <w:name w:val="页脚 字符"/>
    <w:link w:val="5"/>
    <w:qFormat/>
    <w:uiPriority w:val="0"/>
    <w:rPr>
      <w:sz w:val="18"/>
      <w:szCs w:val="18"/>
    </w:rPr>
  </w:style>
  <w:style w:type="character" w:customStyle="1" w:styleId="14">
    <w:name w:val="页眉 字符"/>
    <w:link w:val="6"/>
    <w:autoRedefine/>
    <w:qFormat/>
    <w:uiPriority w:val="0"/>
    <w:rPr>
      <w:sz w:val="18"/>
      <w:szCs w:val="18"/>
    </w:rPr>
  </w:style>
  <w:style w:type="paragraph" w:styleId="15">
    <w:name w:val="List Paragraph"/>
    <w:basedOn w:val="1"/>
    <w:qFormat/>
    <w:uiPriority w:val="0"/>
    <w:pPr>
      <w:ind w:firstLine="420" w:firstLineChars="200"/>
    </w:pPr>
  </w:style>
  <w:style w:type="character" w:customStyle="1" w:styleId="16">
    <w:name w:val="批注框文本 字符"/>
    <w:link w:val="4"/>
    <w:qFormat/>
    <w:uiPriority w:val="0"/>
    <w:rPr>
      <w:kern w:val="2"/>
      <w:sz w:val="18"/>
      <w:szCs w:val="18"/>
    </w:rPr>
  </w:style>
  <w:style w:type="character" w:customStyle="1" w:styleId="17">
    <w:name w:val="标题 1 字符"/>
    <w:link w:val="2"/>
    <w:autoRedefine/>
    <w:qFormat/>
    <w:uiPriority w:val="0"/>
    <w:rPr>
      <w:rFonts w:ascii="Times New Roman" w:hAnsi="Times New Roman"/>
      <w:b/>
      <w:bCs/>
      <w:kern w:val="44"/>
      <w:sz w:val="44"/>
      <w:szCs w:val="44"/>
    </w:rPr>
  </w:style>
  <w:style w:type="paragraph" w:customStyle="1" w:styleId="1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19">
    <w:name w:val="批注文字 字符"/>
    <w:link w:val="3"/>
    <w:qFormat/>
    <w:uiPriority w:val="0"/>
    <w:rPr>
      <w:kern w:val="2"/>
      <w:sz w:val="21"/>
      <w:szCs w:val="22"/>
    </w:rPr>
  </w:style>
  <w:style w:type="character" w:customStyle="1" w:styleId="20">
    <w:name w:val="批注主题 字符"/>
    <w:link w:val="8"/>
    <w:qFormat/>
    <w:uiPriority w:val="0"/>
    <w:rPr>
      <w:b/>
      <w:bCs/>
      <w:kern w:val="2"/>
      <w:sz w:val="21"/>
      <w:szCs w:val="22"/>
    </w:rPr>
  </w:style>
  <w:style w:type="character" w:customStyle="1" w:styleId="21">
    <w:name w:val="fontstyle01"/>
    <w:autoRedefine/>
    <w:qFormat/>
    <w:uiPriority w:val="0"/>
    <w:rPr>
      <w:rFonts w:hint="eastAsia" w:ascii="仿宋_GB2312" w:eastAsia="仿宋_GB2312"/>
      <w:color w:val="000000"/>
      <w:sz w:val="32"/>
      <w:szCs w:val="32"/>
    </w:rPr>
  </w:style>
  <w:style w:type="character" w:customStyle="1" w:styleId="22">
    <w:name w:val="fontstyle21"/>
    <w:autoRedefine/>
    <w:qFormat/>
    <w:uiPriority w:val="0"/>
    <w:rPr>
      <w:rFonts w:hint="default" w:ascii="TimesNewRomanPSMT" w:hAnsi="TimesNewRomanPSMT"/>
      <w:color w:val="000000"/>
      <w:sz w:val="32"/>
      <w:szCs w:val="32"/>
    </w:rPr>
  </w:style>
  <w:style w:type="character" w:customStyle="1" w:styleId="23">
    <w:name w:val="fontstyle11"/>
    <w:autoRedefine/>
    <w:qFormat/>
    <w:uiPriority w:val="0"/>
    <w:rPr>
      <w:rFonts w:hint="eastAsia" w:ascii="仿宋_GB2312" w:eastAsia="仿宋_GB2312"/>
      <w:color w:val="000000"/>
      <w:sz w:val="32"/>
      <w:szCs w:val="32"/>
    </w:rPr>
  </w:style>
  <w:style w:type="character" w:customStyle="1" w:styleId="24">
    <w:name w:val="fontstyle31"/>
    <w:autoRedefine/>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beijing</Company>
  <Pages>10</Pages>
  <Words>572</Words>
  <Characters>3265</Characters>
  <Lines>27</Lines>
  <Paragraphs>7</Paragraphs>
  <TotalTime>1</TotalTime>
  <ScaleCrop>false</ScaleCrop>
  <LinksUpToDate>false</LinksUpToDate>
  <CharactersWithSpaces>3830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2025-02-11T18:21:00Z</dcterms:created>
  <dc:creator>home</dc:creator>
  <cp:lastModifiedBy>qyshcx</cp:lastModifiedBy>
  <cp:lastPrinted>2022-02-15T15:45:00Z</cp:lastPrinted>
  <dcterms:modified xsi:type="dcterms:W3CDTF">2025-02-12T14:45:18Z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4746AA2B63644A919A7677ADD6665D0C</vt:lpwstr>
  </property>
  <property fmtid="{D5CDD505-2E9C-101B-9397-08002B2CF9AE}" pid="4" name="KSOTemplateDocerSaveRecord">
    <vt:lpwstr>eyJoZGlkIjoiNDVhYWM2MGU3ZDRjZDA3MjA3NmIwM2M4YmY0YzlkMjgiLCJ1c2VySWQiOiIzNDEyNzAxNDkifQ==</vt:lpwstr>
  </property>
</Properties>
</file>