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val="en-US" w:eastAsia="zh-CN"/>
        </w:rPr>
        <w:t>华池县悦乐社会福利院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预算公开情况说明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负责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县内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“三无”对象和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经济困难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老人的收养工作；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负责收养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三无”老人、贫困老人和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孤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残老人的生活照料、医疗康复、文化娱乐等服务；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协助政府有关部门做好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“三无”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老人和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经济困难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残疾人的社会福利和权益保护工作；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接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收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和管理社会各界对福利院老人的捐赠；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承办上级有关部门交办的各项工作任务。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华池县悦乐社会福利院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隶属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民政局管理的科级事业单位，位于悦乐镇南街广场路1号，占地面积12.6亩，建筑面积2149.6平方米，于2010年11月份建成投资使用。现有职工18名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核定编制事业编制2名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，其中正式职工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名，政府购买服务人员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名，临聘人员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今年，购置适老化自理床56张、适老化床头柜30个、适老化鞋柜48个、适老化餐桌12张、适老化椅子100张；改造活动室1间、新建电梯1座、消防控制室1间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院内设有办公室、医务室、隔离室、护理区、厨房、餐厅、娱乐室等设施。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50.10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所有收入和支出均纳入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50.10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支出包括：</w:t>
      </w:r>
      <w:r>
        <w:rPr>
          <w:rStyle w:val="21"/>
          <w:rFonts w:hint="default" w:hAnsi="仿宋"/>
          <w:highlight w:val="none"/>
        </w:rPr>
        <w:t>社会保障和就业支出</w:t>
      </w:r>
      <w:r>
        <w:rPr>
          <w:rStyle w:val="22"/>
          <w:rFonts w:hint="eastAsia" w:ascii="仿宋_GB2312" w:hAnsi="仿宋" w:eastAsia="仿宋_GB2312"/>
          <w:highlight w:val="none"/>
          <w:lang w:val="en-US" w:eastAsia="zh-CN"/>
        </w:rPr>
        <w:t>44.32</w:t>
      </w:r>
      <w:r>
        <w:rPr>
          <w:rStyle w:val="21"/>
          <w:rFonts w:hint="default" w:hAnsi="仿宋"/>
          <w:highlight w:val="none"/>
        </w:rPr>
        <w:t>万元、卫生健康支出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2.25万元、住房保障支出3.53</w:t>
      </w:r>
      <w:r>
        <w:rPr>
          <w:rStyle w:val="21"/>
          <w:rFonts w:hint="default" w:hAnsi="仿宋"/>
          <w:highlight w:val="none"/>
        </w:rPr>
        <w:t>万元。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保持收支平衡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50.10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详见单位预算公开表1，2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包括：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50.10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50.10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eastAsia" w:hAnsi="仿宋" w:eastAsia="仿宋_GB2312"/>
          <w:lang w:val="en-US" w:eastAsia="zh-CN"/>
        </w:rPr>
        <w:t>50.10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default" w:hAnsi="仿宋"/>
        </w:rPr>
        <w:t xml:space="preserve"> 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eastAsia" w:hAnsi="仿宋" w:eastAsia="仿宋_GB2312"/>
          <w:lang w:eastAsia="zh-CN"/>
        </w:rPr>
        <w:t>。</w:t>
      </w:r>
      <w:r>
        <w:rPr>
          <w:rStyle w:val="21"/>
          <w:rFonts w:hint="default" w:hAnsi="仿宋"/>
        </w:rPr>
        <w:t>；项目支出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0.00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；上年结转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</w:t>
      </w:r>
      <w:r>
        <w:rPr>
          <w:rStyle w:val="21"/>
          <w:rFonts w:hint="default" w:hAnsi="仿宋"/>
        </w:rPr>
        <w:t>占</w:t>
      </w:r>
      <w:r>
        <w:rPr>
          <w:rStyle w:val="21"/>
          <w:rFonts w:hint="eastAsia" w:hAnsi="仿宋" w:eastAsia="仿宋_GB2312"/>
          <w:lang w:val="en-US" w:eastAsia="zh-CN"/>
        </w:rPr>
        <w:t>0.00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1"/>
          <w:rFonts w:hint="eastAsia" w:hAnsi="仿宋" w:eastAsia="仿宋_GB2312"/>
          <w:lang w:val="en-US" w:eastAsia="zh-CN"/>
        </w:rPr>
        <w:t>50.10</w:t>
      </w:r>
      <w:r>
        <w:rPr>
          <w:rStyle w:val="21"/>
          <w:rFonts w:hint="default" w:hAnsi="仿宋"/>
        </w:rPr>
        <w:t>万元，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包括：</w:t>
      </w:r>
      <w:r>
        <w:rPr>
          <w:rStyle w:val="21"/>
          <w:rFonts w:hint="default" w:hAnsi="仿宋"/>
          <w:highlight w:val="none"/>
        </w:rPr>
        <w:t>社会保障和就业支出</w:t>
      </w:r>
      <w:r>
        <w:rPr>
          <w:rStyle w:val="22"/>
          <w:rFonts w:hint="eastAsia" w:ascii="仿宋_GB2312" w:hAnsi="仿宋" w:eastAsia="仿宋_GB2312"/>
          <w:highlight w:val="none"/>
          <w:lang w:val="en-US" w:eastAsia="zh-CN"/>
        </w:rPr>
        <w:t>44.32</w:t>
      </w:r>
      <w:r>
        <w:rPr>
          <w:rStyle w:val="21"/>
          <w:rFonts w:hint="default" w:hAnsi="仿宋"/>
          <w:highlight w:val="none"/>
        </w:rPr>
        <w:t>万元、卫生健康支出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2.25万元、住房保障支出3.53</w:t>
      </w:r>
      <w:r>
        <w:rPr>
          <w:rStyle w:val="21"/>
          <w:rFonts w:hint="default" w:hAnsi="仿宋"/>
          <w:highlight w:val="none"/>
        </w:rPr>
        <w:t>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50.10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16.59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16.59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工作人员调入，工资福利费用增加。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46.89</w:t>
      </w:r>
      <w:r>
        <w:rPr>
          <w:rFonts w:hint="eastAsia" w:ascii="仿宋_GB2312" w:hAnsi="仿宋" w:eastAsia="仿宋_GB2312"/>
          <w:sz w:val="32"/>
          <w:szCs w:val="32"/>
        </w:rPr>
        <w:t>万元，主要包括：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3.21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</w:t>
      </w:r>
      <w:r>
        <w:rPr>
          <w:rStyle w:val="21"/>
          <w:rFonts w:hint="default" w:hAnsi="仿宋"/>
          <w:highlight w:val="none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44.32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增加14.58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1"/>
          <w:rFonts w:hint="eastAsia" w:hAnsi="仿宋" w:eastAsia="仿宋_GB231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</w:t>
      </w:r>
      <w:r>
        <w:rPr>
          <w:rStyle w:val="21"/>
          <w:rFonts w:hint="default" w:hAnsi="仿宋"/>
          <w:highlight w:val="none"/>
        </w:rPr>
        <w:t>卫生健康支出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2.25万元，比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0.75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Style w:val="21"/>
          <w:rFonts w:hint="eastAsia" w:hAnsi="仿宋" w:eastAsia="仿宋_GB2312"/>
          <w:highlight w:val="none"/>
          <w:lang w:val="en-US" w:eastAsia="zh-CN"/>
        </w:rPr>
        <w:t>3.住房保障支出3.53</w:t>
      </w:r>
      <w:r>
        <w:rPr>
          <w:rStyle w:val="21"/>
          <w:rFonts w:hint="default" w:hAnsi="仿宋"/>
          <w:highlight w:val="none"/>
        </w:rPr>
        <w:t>万元</w:t>
      </w:r>
      <w:r>
        <w:rPr>
          <w:rStyle w:val="21"/>
          <w:rFonts w:hint="eastAsia" w:hAnsi="仿宋" w:eastAsia="仿宋_GB2312"/>
          <w:highlight w:val="none"/>
          <w:lang w:eastAsia="zh-CN"/>
        </w:rPr>
        <w:t>，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1.26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人员调入，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工资福利支出增加。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（一）“三公”经费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预算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46"/>
          <w:szCs w:val="46"/>
          <w:shd w:val="clear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1.因公出国（境）费用0万元，与2023年预算持平，主要原因是2025年华池县悦乐社会福利院无因公出国（境）业务及人员。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万元（其中：公务用车购置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万元，公务用车运行维护费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年预算持平，主要原因是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公务用车改革，单位无保留公务用车。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持平，2025年本单位无培训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会议费预算情况说明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5.会议费0万元，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持平，2025年本单位牵头的培训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0.94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29.28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单位工作人员调入，机关运行经费增加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年，单位政府采购预算总额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黑体" w:hAnsi="黑体" w:eastAsia="黑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固定资产由华池县民政局统一管理。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ascii="仿宋_GB2312" w:hAnsi="仿宋" w:eastAsia="仿宋_GB2312"/>
          <w:sz w:val="32"/>
          <w:szCs w:val="32"/>
          <w:highlight w:val="none"/>
        </w:rPr>
        <w:t>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重点项目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年，未安排预算，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个，按规定随年度预算一并公开项目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个，公开率为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%。“开展1-9月绩效运行监控项目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个，占本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（单位）项目的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（单位）整体支出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个，转移支付项目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%。绩效自评结果随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年度增加（减少）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个，增长率/压减率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%。同时对政策和项目资金管理作出调整的  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预算绩效目标管理的项目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整体支出绩效目标围绕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rFonts w:hint="default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华池县悦乐社会福利院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 xml:space="preserve">  2025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</w:rPr>
        <w:t xml:space="preserve"> 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hAnsi="宋体" w:eastAsia="仿宋_GB2312" w:cs="宋体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华池县悦乐社会福利院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highlight w:val="none"/>
        </w:rPr>
        <w:t>预算公开表</w:t>
      </w:r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华池县悦乐社会福利院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2EzZjVlZDc1MzM3ODMzNzIzNmFhMzEwMjFlZTM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9479A8"/>
    <w:rsid w:val="02E03DF9"/>
    <w:rsid w:val="113741D2"/>
    <w:rsid w:val="1589294C"/>
    <w:rsid w:val="18330BA7"/>
    <w:rsid w:val="18B2778A"/>
    <w:rsid w:val="1D34261E"/>
    <w:rsid w:val="21F75DA4"/>
    <w:rsid w:val="234E25EF"/>
    <w:rsid w:val="290514BE"/>
    <w:rsid w:val="2BF92FF7"/>
    <w:rsid w:val="36CE5337"/>
    <w:rsid w:val="42A05423"/>
    <w:rsid w:val="4561381A"/>
    <w:rsid w:val="4C433C79"/>
    <w:rsid w:val="4CE444B6"/>
    <w:rsid w:val="527E074E"/>
    <w:rsid w:val="56393C72"/>
    <w:rsid w:val="579503FF"/>
    <w:rsid w:val="5A2E7D17"/>
    <w:rsid w:val="60535296"/>
    <w:rsid w:val="6DCC2962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3539</Words>
  <Characters>3922</Characters>
  <Lines>68</Lines>
  <Paragraphs>19</Paragraphs>
  <TotalTime>1</TotalTime>
  <ScaleCrop>false</ScaleCrop>
  <LinksUpToDate>false</LinksUpToDate>
  <CharactersWithSpaces>4019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Freiheit  girl</cp:lastModifiedBy>
  <cp:lastPrinted>2022-02-15T07:45:00Z</cp:lastPrinted>
  <dcterms:modified xsi:type="dcterms:W3CDTF">2025-02-12T02:19:52Z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ACB48C58052F47ECA64AA513E576BB9B_13</vt:lpwstr>
  </property>
  <property fmtid="{D5CDD505-2E9C-101B-9397-08002B2CF9AE}" pid="4" name="KSOTemplateDocerSaveRecord">
    <vt:lpwstr>eyJoZGlkIjoiODY5NTlhNDA2MjAxY2Y4ZDc1YmRmZjQxMjJkZWI3NDYiLCJ1c2VySWQiOiIxMTc2OTQ5NjEyIn0=</vt:lpwstr>
  </property>
</Properties>
</file>