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华池县民政局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（一）贯彻执行国家、省、市关于民政工作的法律法规，拟订全县民政事业发展规划和相关政策，并组织实施、监督检查。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（二）承担依法对全县社会团体、基金会、社会服务机构进行管理和监督检查的责任，负责公开募捐资格审批和县管慈善组织认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</w:rPr>
        <w:t>定工作，负责无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业务主管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的全县性社会组织的党建工作。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（三）贯彻执行全县社会救助规划、政策，健全和完善城乡社会救助体系，负责城乡居民最低生活保障、特困人员救助供养、临时救助、生活无着流浪乞讨人员救助工作。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行政区划，行政区域界线管理和地名管理政策、标准，负责乡（镇）、村（社区）行政区域的设立、撤销、调整、更名和界线变更以及政府驻地迁移的审核报批工作，负责县级行政区域界线的勘定和管理工作，负责全县重要自然地理实体命名、更名的审核报批工作，规范全县地名标志的设置和管理，负责县内标准地名图书资料的审定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）贯彻执行婚姻管理政策，推进婚俗改革。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）贯彻执行殡葬管理政策、服务规范，推进殡葬改革，规范丧葬用品市场，指导殡葬事业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建设；负责公用墓地的管理，倡导移风易俗。 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拟定并协调落实积极应对人口老龄化政策措施、指导协调全县老年人权益保障工作，组织开展人口老龄化国情宣传教育，拟定老年人社会参与政策并组织实施，承担老年人口状况、老龄事业发展的统计调查工作。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）统筹推进、督促指导、监督管理养老服务工作，制定养老服务体系建设规划、政策、标准并组织实施，承担老年人福利和特殊困难老年人救助工作。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）贯彻执行残疾人权益保护政策，推进残疾人福利制度建设和康复辅助器具产业发展。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）贯彻执行儿童福利、孤弃儿童保障、儿童收养、儿童救助保护政策、标准，健全农村留守儿童关爱服务体系和困境儿童保障制度。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）贯彻执行促进慈善事业发展政策，指导社会捐助工作,负责福利彩票管理工作。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）贯彻执行志愿服务政策和标准，会同有关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推进志愿者队伍建设。</w:t>
      </w:r>
    </w:p>
    <w:p>
      <w:pPr>
        <w:spacing w:line="579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）完成县委、县政府及上级业务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交办的其他事项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华池县民政局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现内设4个股室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（办公室、老龄养老和儿童福利股、社会救助和社会组织管理股、社会事务和区划地名股）。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。负责贯彻执行民政事业发展法律法规、政策、制定单位规章并组织实施；负责机关日常运转，办理机关文秘文电、会务、机要、人事管理、机构编制、教育培训、档案管理、党务政务公开、党风廉政建设、机关党建、政务协调、安全生产、新闻宣传、保密、信访和统计工作；承办民政项目申报工作；承办机关财务及隶属单位人事劳资、资产管理、离退休人员管理服务工作；指导监督中央、省、市拨付的福利彩票公益金使用管理；负责街接办理县委、县政府交办的其他工作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老龄养老和儿童福利股。拟定并协调落实积极应对人口老龄化政策措施、指导协调全县老年人权益保障工作，组织开展人口老龄化国情宣传教育，拟定老年人社会参与政策并组织实施，承担老年人口状况、老龄事业发展的统计调查工作。贯彻执行养老服务体系建设规划、政策、标准，切实推进养老服务业的发展，以居家为基础、依托社区搭建养老服务平合，开展社区居家养老服务；承办老年人福利和特殊困难老年人救助；承办养老服务机构建设管理工作，改善照料护理环境，通过购买社会服务等方式，提高服务水平；贯彻执行儿童福利、孤弃儿童保障、儿童收养、儿童救助保护政策，健全农村留守儿童关爱服务体系和困境儿童保障制度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救助和社会组织管理股。负责贯彻落实社会救助政策、标准，统筹分层分类社会救助体系建设，负责管理全县低收入人口的认定及其数据库的监测与应用，负责管理全县城乡居民最低生活保障、特困人员救助供养、临时救助、残疾人两项补贴、居民家庭经济状况核对等工作；贯彻执行慈善事业发展政策，组织和实施社会慈善、社会捐助等社会扶助活动。贯彻执行社会团体、基金会、民办非企业等社会组织登记和监督管理办法，依法对全县社会组织进行登记管理和执法监督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事务和区划地名股。贯彻执行殡葬管理政策，指导殡葬服务，拟定殡葬事业发展规划、政策措施并指导实施；推进殡葬改革，强化公墓监管；承办流浪乞讨人员救助相关工作，指导开展家庭暴力受害人临时庇护救助工作；贯彻落实行政区划、行政区域界限管理和地名管理政策、标准，承办县内行政区划设立、命名、变更和政府驻地迁移审核报批工作，组织和实施行政区域界线管理工作；承办地名管理工作，地名命名、更名的审核报批工作；承办行政区域界线的勘定管理和边界争议的调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调处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工作。协助做好涉及村民委员会、居民委员会中需以政府名义出面的工作。</w:t>
      </w:r>
    </w:p>
    <w:p>
      <w:pPr>
        <w:spacing w:line="579" w:lineRule="exact"/>
        <w:ind w:firstLine="643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人员情况</w:t>
      </w:r>
    </w:p>
    <w:p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县民政局机关人员编制8名，其中:行政编制6名，机关工勤编制2名。设局长1名、副局长2名。下属1个正科级参公事业单位（县社会救助服务中心设一正一副）、3个副科级事业单位（县婚姻登记处、县社会福利院、悦乐社会福利院）。核定编制数35名（其中行政编制6人、工勤编制2名，事业编17个、自收自支编10个）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财政供养总人数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37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人，其中：在职人员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人，遗属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人。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关规定，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情况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1197.29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1197.29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1197.29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1197.29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446.43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，</w:t>
      </w:r>
      <w:r>
        <w:rPr>
          <w:rStyle w:val="21"/>
          <w:rFonts w:hint="default" w:hAnsi="仿宋"/>
        </w:rPr>
        <w:t>占</w:t>
      </w:r>
      <w:r>
        <w:rPr>
          <w:rStyle w:val="21"/>
          <w:rFonts w:hint="eastAsia" w:hAnsi="仿宋" w:eastAsia="仿宋_GB2312"/>
          <w:lang w:val="en-US" w:eastAsia="zh-CN"/>
        </w:rPr>
        <w:t>37.29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750.86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62.71</w:t>
      </w:r>
      <w:r>
        <w:rPr>
          <w:rStyle w:val="22"/>
          <w:rFonts w:hint="eastAsia" w:ascii="仿宋_GB2312" w:hAnsi="仿宋" w:eastAsia="仿宋_GB2312"/>
        </w:rPr>
        <w:t xml:space="preserve"> 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0.00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1197.29</w:t>
      </w:r>
      <w:r>
        <w:rPr>
          <w:rStyle w:val="21"/>
          <w:rFonts w:hint="default" w:hAnsi="仿宋"/>
        </w:rPr>
        <w:t>万元，包括：一般公共服务支出</w:t>
      </w:r>
      <w:r>
        <w:rPr>
          <w:rStyle w:val="22"/>
          <w:rFonts w:hint="eastAsia" w:ascii="仿宋_GB2312" w:hAnsi="仿宋" w:eastAsia="仿宋_GB2312"/>
          <w:lang w:val="en-US" w:eastAsia="zh-CN"/>
        </w:rPr>
        <w:t>1040.8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21.71</w:t>
      </w:r>
      <w:r>
        <w:rPr>
          <w:rStyle w:val="21"/>
          <w:rFonts w:hint="default" w:hAnsi="仿宋"/>
        </w:rPr>
        <w:t>万元、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农林水支出105.30万元、住房保障支出29.48</w:t>
      </w:r>
      <w:r>
        <w:rPr>
          <w:rStyle w:val="21"/>
          <w:rFonts w:hint="default" w:hAnsi="仿宋"/>
          <w:highlight w:val="none"/>
        </w:rPr>
        <w:t>万元。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保持收支平衡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446.43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28.83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工资福利较上年增加，基本支出增加。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400.16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46.27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750.86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135.57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18.06</w:t>
      </w:r>
      <w:r>
        <w:rPr>
          <w:rFonts w:hint="eastAsia" w:ascii="仿宋_GB2312" w:hAnsi="仿宋" w:eastAsia="仿宋_GB2312"/>
          <w:sz w:val="32"/>
          <w:szCs w:val="32"/>
        </w:rPr>
        <w:t>%，增长的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城乡特困供养县级补助及残疾人两项补贴县级补助项目预算增加，新增殡葬管理机构运营及高龄补贴县级补助项目预算。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2025年总预算项目11个，包括：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个，主要是城市困难群众特别救助基金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项目、基层救助能力建设工作经费、城市低保县级补助资金、城乡特困供养县级补助项目、城乡居民临时救助县级补助项目、残疾人“两项补贴”县级补助项目、孤儿生活费县级补助项目、高龄补贴县级补助项目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主要是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养老机构运营经费项目、殡葬管理机构运营经费项目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其他项目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为村务监督委员会主任报酬项目。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1.</w:t>
      </w:r>
      <w:r>
        <w:rPr>
          <w:rStyle w:val="21"/>
          <w:rFonts w:hint="default" w:hAnsi="仿宋"/>
          <w:highlight w:val="none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880.88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增加159.92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工资福利支出增长及人员保险基数增加。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Style w:val="21"/>
          <w:rFonts w:hint="eastAsia" w:hAnsi="仿宋" w:eastAsia="仿宋_GB231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2.</w:t>
      </w:r>
      <w:r>
        <w:rPr>
          <w:rStyle w:val="21"/>
          <w:rFonts w:hint="default" w:hAnsi="仿宋"/>
          <w:highlight w:val="none"/>
        </w:rPr>
        <w:t>卫生健康支出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21.71万元，比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0.95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工资福利支出增长及人员保险基数增加。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Style w:val="21"/>
          <w:rFonts w:hint="eastAsia" w:hAnsi="仿宋" w:eastAsia="仿宋_GB2312"/>
          <w:highlight w:val="none"/>
          <w:lang w:val="en-US" w:eastAsia="zh-CN"/>
        </w:rPr>
        <w:t>3.农林水支出105.3万元，和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0.90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2025年村务监督委员人数增加。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Style w:val="21"/>
          <w:rFonts w:hint="eastAsia" w:hAnsi="仿宋" w:eastAsia="仿宋_GB2312"/>
          <w:highlight w:val="none"/>
          <w:lang w:val="en-US" w:eastAsia="zh-CN"/>
        </w:rPr>
        <w:t>4.住房保障支出29.48</w:t>
      </w:r>
      <w:r>
        <w:rPr>
          <w:rStyle w:val="21"/>
          <w:rFonts w:hint="default" w:hAnsi="仿宋"/>
          <w:highlight w:val="none"/>
        </w:rPr>
        <w:t>万元</w:t>
      </w:r>
      <w:r>
        <w:rPr>
          <w:rStyle w:val="21"/>
          <w:rFonts w:hint="eastAsia" w:hAnsi="仿宋" w:eastAsia="仿宋_GB2312"/>
          <w:highlight w:val="none"/>
          <w:lang w:eastAsia="zh-CN"/>
        </w:rPr>
        <w:t>，</w:t>
      </w:r>
      <w:r>
        <w:rPr>
          <w:rStyle w:val="21"/>
          <w:rFonts w:hint="eastAsia" w:hAnsi="仿宋" w:eastAsia="仿宋_GB2312"/>
          <w:highlight w:val="none"/>
          <w:lang w:val="en-US" w:eastAsia="zh-CN"/>
        </w:rPr>
        <w:t>比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0.36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工资福利支出增长及人员保险基数增加社会保障支出增加。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五、单位一般公共预算财政拨款“三公”经费、培训费、会议费等情况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（一）“三公”经费预算情况说明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46"/>
          <w:szCs w:val="46"/>
          <w:shd w:val="clear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1.因公出国（境）费用0万元，与2024年预算持平，2025年华池县民政局无因公出国（境）业务及人员。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0.38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持平。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万元（其中：公务用车购置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万元，公务用车运行维护费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万元），与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年预算持平，</w:t>
      </w:r>
      <w:r>
        <w:rPr>
          <w:rFonts w:hint="default" w:ascii="仿宋_GB2312" w:hAnsi="仿宋" w:eastAsia="仿宋_GB2312"/>
          <w:sz w:val="32"/>
          <w:szCs w:val="32"/>
          <w:highlight w:val="none"/>
        </w:rPr>
        <w:t>单位无保留公务用车。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4.培训费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较2024年持平。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（三）会议费预算情况说明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5.会议费0.1万元，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较2024年持平。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46.27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年预算增加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1.53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职工工资福利增加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政府采购预算总额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786.8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376.8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775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11.8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1988.56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6679.95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1837.85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预算单位共有公务用车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单价20万元以上的设备0万元。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2.8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ascii="仿宋_GB2312" w:hAnsi="仿宋" w:eastAsia="仿宋_GB2312"/>
          <w:sz w:val="32"/>
          <w:szCs w:val="32"/>
          <w:highlight w:val="none"/>
        </w:rPr>
        <w:t>无非税收入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（三）重点项目情况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2025年根据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《甘肃省财政厅 甘肃省民政厅关于提前下达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年困难群众救助补助预算指标的通知》（甘财社〔20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136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号）安排困难群众救助补助资金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8299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万元，根据《甘肃省困难群众救助补助资金管理办法》困难群众救助补助资金主要用于发放城乡最低生活保障、特困人员救助供养、临时救助、残疾人两项补贴、困难老年人补贴、流浪乞讨人员救助、孤儿及事实无人抚养儿童基本生活保障资金。实施主体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华池县</w:t>
      </w:r>
      <w:r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  <w:t>民政局，实施周期为1年，各类救助资金于每月10号前通过社保卡发放至救助对象手中，该项目的实施能够有效保障城乡低保对象基本生活，特困人员救助供养实现城乡统筹，有效发挥临时救助救急解难作用，保障因灾情等影响的困难群众基本生活，为生活无着落的流浪乞讨人员提供临时救助，协调及时返乡，对流浪未成年人履行临时监护责任，维护其身心健康，帮助其顺利回归家庭，保障孤儿和艾滋病病毒感染儿童生存，促进其成长，使其生活的更有尊严，更好的融入社会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（四）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年，未安排预算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年度，按照“谁申请资金，谁设置目标”的原则，纳入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个，按规定随年度预算一并公开项目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个，公开率为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%。“开展1-9月绩效运行监控项目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个，占本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（单位）项目的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整体支出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个，转移支付项目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个，绩效自评覆盖率为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%。绩效自评结果随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决算报送财政和随决算公开情况：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根据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共计11个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较2024年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增长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有3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highlight w:val="none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年，纳入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预算绩效目标管理的项目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整体支出绩效目标围绕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单位支出预算的组成部分，是各单位为完成其特定的行政任务或事业发展目标，在基本支出预算之外编制的年度项目支出计划。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96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华池县民政局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华池县民政局2025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华池县民政局2025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2EzZjVlZDc1MzM3ODMzNzIzNmFhMzEwMjFlZTM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357D70"/>
    <w:rsid w:val="04DC4690"/>
    <w:rsid w:val="070D0B30"/>
    <w:rsid w:val="0A4A632A"/>
    <w:rsid w:val="0AA06054"/>
    <w:rsid w:val="0D222E5C"/>
    <w:rsid w:val="113741D2"/>
    <w:rsid w:val="114C04A7"/>
    <w:rsid w:val="13A20852"/>
    <w:rsid w:val="15B12FCF"/>
    <w:rsid w:val="18330BA7"/>
    <w:rsid w:val="191C410B"/>
    <w:rsid w:val="1D34261E"/>
    <w:rsid w:val="217B27C0"/>
    <w:rsid w:val="22CA7B2E"/>
    <w:rsid w:val="303643A5"/>
    <w:rsid w:val="30C25B3A"/>
    <w:rsid w:val="33792F26"/>
    <w:rsid w:val="39A726A5"/>
    <w:rsid w:val="41EE4ADF"/>
    <w:rsid w:val="42A05423"/>
    <w:rsid w:val="47617B01"/>
    <w:rsid w:val="47C15148"/>
    <w:rsid w:val="4B83098E"/>
    <w:rsid w:val="4C433C79"/>
    <w:rsid w:val="4D835C96"/>
    <w:rsid w:val="527E074E"/>
    <w:rsid w:val="552F123F"/>
    <w:rsid w:val="56393C72"/>
    <w:rsid w:val="57675A44"/>
    <w:rsid w:val="579503FF"/>
    <w:rsid w:val="59305585"/>
    <w:rsid w:val="59A96759"/>
    <w:rsid w:val="5C0A6562"/>
    <w:rsid w:val="5C4F0418"/>
    <w:rsid w:val="5E972CE7"/>
    <w:rsid w:val="5EBA48BB"/>
    <w:rsid w:val="5FB707AE"/>
    <w:rsid w:val="60535296"/>
    <w:rsid w:val="610E5422"/>
    <w:rsid w:val="61D76EE6"/>
    <w:rsid w:val="64917820"/>
    <w:rsid w:val="72FD2525"/>
    <w:rsid w:val="78106856"/>
    <w:rsid w:val="786D1654"/>
    <w:rsid w:val="7A3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15</Pages>
  <Words>6289</Words>
  <Characters>6710</Characters>
  <Lines>68</Lines>
  <Paragraphs>19</Paragraphs>
  <TotalTime>1</TotalTime>
  <ScaleCrop>false</ScaleCrop>
  <LinksUpToDate>false</LinksUpToDate>
  <CharactersWithSpaces>6798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Freiheit  girl</cp:lastModifiedBy>
  <cp:lastPrinted>2022-02-15T07:45:00Z</cp:lastPrinted>
  <dcterms:modified xsi:type="dcterms:W3CDTF">2025-02-12T02:17:00Z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D8F7010A404047DBBCDAE69F3B9BF75B_13</vt:lpwstr>
  </property>
  <property fmtid="{D5CDD505-2E9C-101B-9397-08002B2CF9AE}" pid="4" name="KSOTemplateDocerSaveRecord">
    <vt:lpwstr>eyJoZGlkIjoiYjk4OTA3YTM2NWQyODVlYjIxMzA1ODc5MTFhZWM0YTciLCJ1c2VySWQiOiIyMzI3NjgyNjMifQ==</vt:lpwstr>
  </property>
</Properties>
</file>