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华池县房产服务中心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房产服务中心是县直工作的职能部门。主要职责是:贯彻执行国家、省、市县有关房产管理以及住房制度改革的方针、政策、法律、法规，引导房地产业健康发展。负责拟定完善全县住房制度改革规划、实施方案和相关政策，并组织实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负责全县保障性住房建设和廉租住房租赁补贴发放工作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对商品房预售实施管理，核发《商品房预售许可证》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对交易合同实行备案登记，调解和仲裁合同纠纷，查处非法交易活动，规范房地产市场行为。负责房地产开发企业、房地产中介服务机构（含房屋评估、咨询、经纪机构）、物业管理企业的资质管理和行业管理。引导和组织实施住宅小区物业管理工作。负责房地产房政执法检查工作，查处违法违章行为。完成上级业务主管部门交办的其他工作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）机关内设机构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华池县房产服务中心内设4个职能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,包括: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综合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办公室、住房保障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、房产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管理办公室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、物业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管理办公室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（2）人员情况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度，我单位共有编制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其中：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zh-CN"/>
        </w:rPr>
        <w:t>参公事业编制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3人，事业编制人员4人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13人，其中：在职人员12人，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雇佣人员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1人。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年部门收支总预算191.5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</w:t>
      </w:r>
      <w:r>
        <w:rPr>
          <w:rStyle w:val="20"/>
          <w:rFonts w:hint="eastAsia" w:hAnsi="仿宋" w:eastAsia="仿宋_GB2312"/>
          <w:lang w:val="en-US" w:eastAsia="zh-CN"/>
        </w:rPr>
        <w:t>城乡社区支出、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191.5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191.5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191.5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>188.5</w:t>
      </w:r>
      <w:r>
        <w:rPr>
          <w:rStyle w:val="21"/>
          <w:rFonts w:hint="eastAsia" w:ascii="仿宋_GB2312" w:hAnsi="仿宋" w:eastAsia="仿宋_GB2312"/>
          <w:lang w:val="en-US" w:eastAsia="zh-CN"/>
        </w:rPr>
        <w:t>7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98.43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default" w:hAnsi="仿宋"/>
        </w:rPr>
        <w:t>项目支出</w:t>
      </w:r>
      <w:r>
        <w:rPr>
          <w:rStyle w:val="20"/>
          <w:rFonts w:hint="eastAsia" w:hAnsi="仿宋" w:eastAsia="仿宋_GB2312"/>
          <w:lang w:val="en-US" w:eastAsia="zh-CN"/>
        </w:rPr>
        <w:t>3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1.57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191.5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>28.17</w:t>
      </w:r>
      <w:r>
        <w:rPr>
          <w:rStyle w:val="20"/>
          <w:rFonts w:hint="default" w:hAnsi="仿宋"/>
        </w:rPr>
        <w:t>万元、卫生健康支出8.3</w:t>
      </w:r>
      <w:r>
        <w:rPr>
          <w:rStyle w:val="20"/>
          <w:rFonts w:hint="eastAsia" w:hAnsi="仿宋" w:eastAsia="仿宋_GB2312"/>
          <w:lang w:val="en-US" w:eastAsia="zh-CN"/>
        </w:rPr>
        <w:t>5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val="en-US" w:eastAsia="zh-CN"/>
        </w:rPr>
        <w:t>、城乡社区支出142.39</w:t>
      </w:r>
      <w:r>
        <w:rPr>
          <w:rStyle w:val="20"/>
          <w:rFonts w:hint="default" w:hAnsi="仿宋"/>
        </w:rPr>
        <w:t>万元、住房保障支出12.6</w:t>
      </w:r>
      <w:r>
        <w:rPr>
          <w:rStyle w:val="20"/>
          <w:rFonts w:hint="eastAsia" w:hAnsi="仿宋" w:eastAsia="仿宋_GB2312"/>
          <w:lang w:val="en-US" w:eastAsia="zh-CN"/>
        </w:rPr>
        <w:t>6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年基本支出188.5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34.4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15.43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2024年年内我中心调出3人，本年年初人员经费、公用经费预算减少。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其中：人员经费支出173.1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15.43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：为改善公租房基础设施条件，保障公租房住户的住房安全，特申请将每年公租房上缴租金用于维修公租房。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经济社会发展项目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个，主要是保障性公共租赁住房维修项目。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960" w:firstLineChars="3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我中心属于华池县住房和城乡建设局二级单位，无</w:t>
      </w:r>
      <w:r>
        <w:rPr>
          <w:rFonts w:hint="eastAsia" w:ascii="仿宋_GB2312" w:eastAsia="仿宋_GB2312"/>
          <w:color w:val="000000"/>
          <w:sz w:val="32"/>
          <w:szCs w:val="32"/>
        </w:rPr>
        <w:t>纪检监察事务（ 款） 派驻派出机构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我中心无</w:t>
      </w:r>
      <w:r>
        <w:rPr>
          <w:rFonts w:hint="eastAsia" w:ascii="仿宋_GB2312" w:hAnsi="仿宋" w:eastAsia="仿宋_GB2312"/>
          <w:sz w:val="32"/>
          <w:szCs w:val="32"/>
        </w:rPr>
        <w:t>因公出国（境）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2024年我中心无公务接待，未发生公务接待费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机关运行经费7.8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2.12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21.28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2024年年内我中心调出3人，年初预算公用经费减少。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464.06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441.22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443.94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     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年未安排政府性基金预算，政府性基金预算支出情况表为空表。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年本单位年初预算未安排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重点</w:t>
      </w:r>
      <w:r>
        <w:rPr>
          <w:rFonts w:hint="eastAsia" w:ascii="仿宋_GB2312" w:hAnsi="仿宋" w:eastAsia="仿宋_GB2312"/>
          <w:sz w:val="32"/>
          <w:szCs w:val="32"/>
        </w:rPr>
        <w:t>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单位未安排预算，单位管理转移支付表为空表。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楷体" w:eastAsia="仿宋_GB2312"/>
          <w:sz w:val="32"/>
          <w:szCs w:val="32"/>
        </w:rPr>
        <w:t xml:space="preserve"> 年未安排预算，国有资本经营预算支出情况表为空表。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按时公开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112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华池县房产服务中心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1120"/>
        <w:contextualSpacing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华池县房产服务中心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华池县房产服务中心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D7E7A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361D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2A4297"/>
    <w:rsid w:val="02E03DF9"/>
    <w:rsid w:val="02EF1FE3"/>
    <w:rsid w:val="051121CF"/>
    <w:rsid w:val="051D5561"/>
    <w:rsid w:val="0B254D10"/>
    <w:rsid w:val="0B64316D"/>
    <w:rsid w:val="0DB87CE0"/>
    <w:rsid w:val="107614A0"/>
    <w:rsid w:val="113741D2"/>
    <w:rsid w:val="145A3649"/>
    <w:rsid w:val="149878CE"/>
    <w:rsid w:val="18330BA7"/>
    <w:rsid w:val="1D34261E"/>
    <w:rsid w:val="1DAF3281"/>
    <w:rsid w:val="27D92EC4"/>
    <w:rsid w:val="29CE0744"/>
    <w:rsid w:val="2E611A1F"/>
    <w:rsid w:val="2E86413C"/>
    <w:rsid w:val="30010070"/>
    <w:rsid w:val="310015FF"/>
    <w:rsid w:val="31F53665"/>
    <w:rsid w:val="345007F8"/>
    <w:rsid w:val="36022206"/>
    <w:rsid w:val="370056AC"/>
    <w:rsid w:val="372E42BC"/>
    <w:rsid w:val="40693820"/>
    <w:rsid w:val="42A05423"/>
    <w:rsid w:val="4AFB5734"/>
    <w:rsid w:val="4C433C79"/>
    <w:rsid w:val="4EC54EDE"/>
    <w:rsid w:val="4F5B284E"/>
    <w:rsid w:val="52107588"/>
    <w:rsid w:val="527E074E"/>
    <w:rsid w:val="55837CDB"/>
    <w:rsid w:val="56393C72"/>
    <w:rsid w:val="56605787"/>
    <w:rsid w:val="56F92A3D"/>
    <w:rsid w:val="579503FF"/>
    <w:rsid w:val="57F31018"/>
    <w:rsid w:val="59BA3267"/>
    <w:rsid w:val="5E920EF9"/>
    <w:rsid w:val="60535296"/>
    <w:rsid w:val="6F371958"/>
    <w:rsid w:val="727A6B4A"/>
    <w:rsid w:val="72FD2525"/>
    <w:rsid w:val="77C47722"/>
    <w:rsid w:val="78106856"/>
    <w:rsid w:val="7BA72072"/>
    <w:rsid w:val="7DC30565"/>
    <w:rsid w:val="7EC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4809</Words>
  <Characters>5046</Characters>
  <Lines>68</Lines>
  <Paragraphs>19</Paragraphs>
  <TotalTime>43</TotalTime>
  <ScaleCrop>false</ScaleCrop>
  <LinksUpToDate>false</LinksUpToDate>
  <CharactersWithSpaces>5516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2025-02-11T08:37:21Z</cp:lastPrinted>
  <dcterms:modified xsi:type="dcterms:W3CDTF">2025-02-11T08:59:08Z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eyJoZGlkIjoiNDVhYWM2MGU3ZDRjZDA3MjA3NmIwM2M4YmY0YzlkMjgiLCJ1c2VySWQiOiIzNDEyNzAxNDkifQ==</vt:lpwstr>
  </property>
</Properties>
</file>