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AF39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3A81E71D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082EB3C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9DC1FB9">
      <w:pPr>
        <w:spacing w:line="660" w:lineRule="exact"/>
        <w:jc w:val="center"/>
        <w:rPr>
          <w:rFonts w:hint="eastAsia" w:ascii="宋体" w:hAnsi="宋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0"/>
          <w:szCs w:val="40"/>
          <w:lang w:val="en-US" w:eastAsia="zh-CN"/>
        </w:rPr>
        <w:t>华池县城壕镇新城小学</w:t>
      </w:r>
    </w:p>
    <w:p w14:paraId="23DACF90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年单位预算公开情况说明 </w:t>
      </w:r>
    </w:p>
    <w:p w14:paraId="566F5329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35A574D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6F6493EC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63284786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3344C118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57135ED8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450ABB7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第二部分 202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val="en-US" w:eastAsia="zh-CN"/>
        </w:rPr>
        <w:t>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3BDBCC9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3D3ED31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1EBFBE1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5481C57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467F0DA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50882EB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2591659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27BA808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2855967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3D05DA9A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第三部分 202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val="en-US" w:eastAsia="zh-CN"/>
        </w:rPr>
        <w:t>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4B90FA8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6D3D75BD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507435E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355E89B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25B3179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2FF83C2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0499648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473B98E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2DBBDA1D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1ED68B1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65BD57E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7A9FDD23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318BE9D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752B5078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779FB0CA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7C3BAFDA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16781C1A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0FB93BAE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一、部门/单位职责</w:t>
      </w:r>
    </w:p>
    <w:p w14:paraId="1D7702BE">
      <w:pPr>
        <w:spacing w:line="600" w:lineRule="exact"/>
        <w:ind w:firstLine="640" w:firstLineChars="200"/>
        <w:rPr>
          <w:rFonts w:hint="eastAsia" w:ascii="仿宋_GB2312" w:hAnsi="宋体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我单位属全额拨款事业单位，隶属于华池县教育局，主要负责普及本辖区内及周边附近乡村适龄少年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/>
        </w:rPr>
        <w:t>学前、小学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教育工作。</w:t>
      </w:r>
    </w:p>
    <w:p w14:paraId="0EC6E5EC">
      <w:pPr>
        <w:spacing w:line="600" w:lineRule="exact"/>
        <w:ind w:firstLine="320" w:firstLineChars="1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0B65973C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5D2D1D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/>
        </w:rPr>
        <w:t>内设机构</w:t>
      </w:r>
    </w:p>
    <w:p w14:paraId="5DCDC1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" w:eastAsia="仿宋_GB2312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华池县城壕镇新城小学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/>
        </w:rPr>
        <w:t>年共有3所普通小学，1所教学点，1所中心幼儿园，在职教师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50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/>
        </w:rPr>
        <w:t>名，中心校负责人1名，负责全中心校安全及教学管理工作，业务人员1名负责上传下达等工作，报账员1名，负责全中心校的账务及报账工作，各校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内设机构3个处室（教务处、政教处、总务处）（教务处主要负责学校全盘教学工作，教学安排，检测等；政教处主要负责学校的德育及学生管理工作；总务处主要负责教师学生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/>
        </w:rPr>
        <w:t>餐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饮、教学后勤保障等工作）</w:t>
      </w:r>
    </w:p>
    <w:p w14:paraId="26856F19">
      <w:pPr>
        <w:pStyle w:val="7"/>
        <w:shd w:val="clear" w:color="auto" w:fill="FFFFFF"/>
        <w:spacing w:before="0" w:beforeAutospacing="0" w:after="0" w:afterAutospacing="0" w:line="560" w:lineRule="exact"/>
        <w:ind w:firstLine="643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>（2）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人员情况</w:t>
      </w:r>
    </w:p>
    <w:p w14:paraId="09DE263C"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20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年</w:t>
      </w:r>
      <w:r>
        <w:rPr>
          <w:rFonts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度，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我单位共有编制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数32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名，其中：行政编制0名，参公事业编制0名，事业编制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32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名，后勤编制0名。财政供养总人数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91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人，其中：在职人员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50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人，雇佣人员0人，离退休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36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人，遗属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人。</w:t>
      </w:r>
    </w:p>
    <w:p w14:paraId="106551DC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（二）参照公务员法管理单位</w:t>
      </w:r>
    </w:p>
    <w:p w14:paraId="0BA856AB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无</w:t>
      </w:r>
    </w:p>
    <w:p w14:paraId="2D734BCC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（三）直属事业单位</w:t>
      </w:r>
    </w:p>
    <w:p w14:paraId="78D3807F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无</w:t>
      </w:r>
    </w:p>
    <w:p w14:paraId="64B694B4">
      <w:pPr>
        <w:spacing w:line="600" w:lineRule="exact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</w:p>
    <w:p w14:paraId="62F3295E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 w14:paraId="67BB54C9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年部门（单位）收支包括机关预算和直属单位预算在内的汇总情况。</w:t>
      </w:r>
    </w:p>
    <w:p w14:paraId="08F0ECAC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743.43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（单位）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6417DDBE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2567A1E1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743.43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万元（详见部门/单位预算公开表1,2）。包括：</w:t>
      </w:r>
    </w:p>
    <w:p w14:paraId="4E7E65D0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743.43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47F92A48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政府性基金预算收入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55E51761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上年结转收入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 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4D6CFB1A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其他收入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 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55F6E459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</w:p>
    <w:p w14:paraId="3B7A2AF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7A9459B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743.43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万元（详见部门/单位预算公开表3）。</w:t>
      </w:r>
      <w:r>
        <w:rPr>
          <w:rStyle w:val="21"/>
          <w:rFonts w:hint="default" w:hAnsi="仿宋"/>
        </w:rPr>
        <w:t>其中：基本支出</w:t>
      </w:r>
      <w:r>
        <w:rPr>
          <w:rStyle w:val="22"/>
          <w:rFonts w:hint="eastAsia" w:ascii="仿宋_GB2312" w:hAnsi="仿宋" w:eastAsia="仿宋_GB2312"/>
        </w:rPr>
        <w:t xml:space="preserve"> </w:t>
      </w:r>
      <w:r>
        <w:rPr>
          <w:rStyle w:val="22"/>
          <w:rFonts w:hint="eastAsia" w:ascii="仿宋_GB2312" w:hAnsi="仿宋" w:eastAsia="仿宋_GB2312"/>
          <w:lang w:val="en-US" w:eastAsia="zh-CN"/>
        </w:rPr>
        <w:t>743.43</w:t>
      </w:r>
      <w:r>
        <w:rPr>
          <w:rStyle w:val="21"/>
          <w:rFonts w:hint="default" w:hAnsi="仿宋"/>
        </w:rPr>
        <w:t>万元， 占</w:t>
      </w:r>
      <w:r>
        <w:rPr>
          <w:rStyle w:val="21"/>
          <w:rFonts w:hint="eastAsia" w:hAnsi="仿宋" w:eastAsia="仿宋_GB2312"/>
          <w:lang w:val="en-US" w:eastAsia="zh-CN"/>
        </w:rPr>
        <w:t>100</w:t>
      </w:r>
      <w:r>
        <w:rPr>
          <w:rStyle w:val="22"/>
          <w:rFonts w:hint="eastAsia" w:ascii="仿宋_GB2312" w:hAnsi="仿宋" w:eastAsia="仿宋_GB2312"/>
        </w:rPr>
        <w:t xml:space="preserve"> %</w:t>
      </w:r>
      <w:r>
        <w:rPr>
          <w:rStyle w:val="21"/>
          <w:rFonts w:hint="default" w:hAnsi="仿宋"/>
        </w:rPr>
        <w:t>； 项目支出</w:t>
      </w:r>
      <w:r>
        <w:rPr>
          <w:rStyle w:val="21"/>
          <w:rFonts w:hint="eastAsia" w:hAnsi="仿宋" w:eastAsia="仿宋_GB2312"/>
          <w:lang w:val="en-US" w:eastAsia="zh-CN"/>
        </w:rPr>
        <w:t>0</w:t>
      </w:r>
      <w:r>
        <w:rPr>
          <w:rStyle w:val="22"/>
          <w:rFonts w:hint="eastAsia" w:ascii="仿宋_GB2312" w:hAnsi="仿宋" w:eastAsia="仿宋_GB2312"/>
        </w:rPr>
        <w:t xml:space="preserve"> </w:t>
      </w:r>
      <w:r>
        <w:rPr>
          <w:rStyle w:val="21"/>
          <w:rFonts w:hint="default" w:hAnsi="仿宋"/>
        </w:rPr>
        <w:t>万元，占</w:t>
      </w:r>
      <w:r>
        <w:rPr>
          <w:rStyle w:val="22"/>
          <w:rFonts w:hint="eastAsia" w:ascii="仿宋_GB2312" w:hAnsi="仿宋" w:eastAsia="仿宋_GB2312"/>
          <w:lang w:val="en-US" w:eastAsia="zh-CN"/>
        </w:rPr>
        <w:t>0</w:t>
      </w:r>
      <w:r>
        <w:rPr>
          <w:rStyle w:val="22"/>
          <w:rFonts w:hint="eastAsia" w:ascii="仿宋_GB2312" w:hAnsi="仿宋" w:eastAsia="仿宋_GB2312"/>
        </w:rPr>
        <w:t xml:space="preserve"> %</w:t>
      </w:r>
      <w:r>
        <w:rPr>
          <w:rStyle w:val="21"/>
          <w:rFonts w:hint="default" w:hAnsi="仿宋"/>
        </w:rPr>
        <w:t>； 上年结转</w:t>
      </w:r>
      <w:r>
        <w:rPr>
          <w:rStyle w:val="22"/>
          <w:rFonts w:hint="eastAsia" w:ascii="仿宋_GB2312" w:hAnsi="仿宋" w:eastAsia="仿宋_GB2312"/>
          <w:lang w:val="en-US" w:eastAsia="zh-CN"/>
        </w:rPr>
        <w:t>0</w:t>
      </w:r>
      <w:r>
        <w:rPr>
          <w:rStyle w:val="21"/>
          <w:rFonts w:hint="default" w:hAnsi="仿宋"/>
        </w:rPr>
        <w:t>万元， 占</w:t>
      </w:r>
      <w:r>
        <w:rPr>
          <w:rStyle w:val="22"/>
          <w:rFonts w:hint="eastAsia" w:ascii="仿宋_GB2312" w:hAnsi="仿宋" w:eastAsia="仿宋_GB2312"/>
          <w:lang w:val="en-US" w:eastAsia="zh-CN"/>
        </w:rPr>
        <w:t>0</w:t>
      </w:r>
      <w:r>
        <w:rPr>
          <w:rStyle w:val="22"/>
          <w:rFonts w:hint="eastAsia" w:ascii="仿宋_GB2312" w:hAnsi="仿宋" w:eastAsia="仿宋_GB2312"/>
        </w:rPr>
        <w:t xml:space="preserve"> %</w:t>
      </w:r>
      <w:r>
        <w:rPr>
          <w:rStyle w:val="21"/>
          <w:rFonts w:hint="default" w:hAnsi="仿宋"/>
        </w:rPr>
        <w:t>。</w:t>
      </w:r>
    </w:p>
    <w:p w14:paraId="09547CA1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67406C43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Style w:val="22"/>
          <w:rFonts w:hint="eastAsia" w:ascii="仿宋_GB2312" w:hAnsi="仿宋" w:eastAsia="仿宋_GB2312"/>
        </w:rPr>
        <w:t>202</w:t>
      </w:r>
      <w:r>
        <w:rPr>
          <w:rStyle w:val="22"/>
          <w:rFonts w:hint="eastAsia" w:ascii="仿宋_GB2312" w:hAnsi="仿宋" w:eastAsia="仿宋_GB2312"/>
          <w:lang w:val="en-US" w:eastAsia="zh-CN"/>
        </w:rPr>
        <w:t>5</w:t>
      </w:r>
      <w:r>
        <w:rPr>
          <w:rStyle w:val="22"/>
          <w:rFonts w:hint="eastAsia" w:ascii="仿宋_GB2312" w:hAnsi="仿宋" w:eastAsia="仿宋_GB2312"/>
        </w:rPr>
        <w:t xml:space="preserve"> </w:t>
      </w:r>
      <w:r>
        <w:rPr>
          <w:rStyle w:val="21"/>
          <w:rFonts w:hint="default" w:hAnsi="仿宋"/>
        </w:rPr>
        <w:t>年一般公共预算当年支出</w:t>
      </w:r>
      <w:r>
        <w:rPr>
          <w:rStyle w:val="22"/>
          <w:rFonts w:hint="eastAsia" w:ascii="仿宋_GB2312" w:hAnsi="仿宋" w:eastAsia="仿宋_GB2312"/>
          <w:lang w:val="en-US" w:eastAsia="zh-CN"/>
        </w:rPr>
        <w:t>743.43</w:t>
      </w:r>
      <w:r>
        <w:rPr>
          <w:rStyle w:val="21"/>
          <w:rFonts w:hint="default" w:hAnsi="仿宋"/>
        </w:rPr>
        <w:t>万元，包括：一般公共服务支出</w:t>
      </w:r>
      <w:r>
        <w:rPr>
          <w:rStyle w:val="22"/>
          <w:rFonts w:hint="eastAsia" w:ascii="仿宋_GB2312" w:hAnsi="仿宋" w:eastAsia="仿宋_GB2312"/>
          <w:lang w:val="en-US" w:eastAsia="zh-CN"/>
        </w:rPr>
        <w:t>0</w:t>
      </w:r>
      <w:r>
        <w:rPr>
          <w:rStyle w:val="21"/>
          <w:rFonts w:hint="default" w:hAnsi="仿宋"/>
        </w:rPr>
        <w:t>万元、公共安全支出</w:t>
      </w:r>
      <w:r>
        <w:rPr>
          <w:rStyle w:val="22"/>
          <w:rFonts w:hint="eastAsia" w:ascii="仿宋_GB2312" w:hAnsi="仿宋" w:eastAsia="仿宋_GB2312"/>
          <w:lang w:val="en-US" w:eastAsia="zh-CN"/>
        </w:rPr>
        <w:t>0</w:t>
      </w:r>
      <w:r>
        <w:rPr>
          <w:rStyle w:val="21"/>
          <w:rFonts w:hint="default" w:hAnsi="仿宋"/>
        </w:rPr>
        <w:t>万元、教育支出</w:t>
      </w:r>
      <w:r>
        <w:rPr>
          <w:rStyle w:val="22"/>
          <w:rFonts w:hint="eastAsia" w:ascii="仿宋_GB2312" w:hAnsi="仿宋" w:eastAsia="仿宋_GB2312"/>
          <w:lang w:val="en-US" w:eastAsia="zh-CN"/>
        </w:rPr>
        <w:t>541.87</w:t>
      </w:r>
      <w:r>
        <w:rPr>
          <w:rStyle w:val="21"/>
          <w:rFonts w:hint="default" w:hAnsi="仿宋"/>
        </w:rPr>
        <w:t>万元、科学技术支出</w:t>
      </w:r>
      <w:r>
        <w:rPr>
          <w:rStyle w:val="22"/>
          <w:rFonts w:hint="eastAsia" w:ascii="仿宋_GB2312" w:hAnsi="仿宋" w:eastAsia="仿宋_GB2312"/>
          <w:lang w:val="en-US" w:eastAsia="zh-CN"/>
        </w:rPr>
        <w:t>0</w:t>
      </w:r>
      <w:r>
        <w:rPr>
          <w:rStyle w:val="21"/>
          <w:rFonts w:hint="default" w:hAnsi="仿宋"/>
        </w:rPr>
        <w:t>万元、社会保障和就业支出</w:t>
      </w:r>
      <w:r>
        <w:rPr>
          <w:rStyle w:val="22"/>
          <w:rFonts w:hint="eastAsia" w:ascii="仿宋_GB2312" w:hAnsi="仿宋" w:eastAsia="仿宋_GB2312"/>
          <w:lang w:val="en-US" w:eastAsia="zh-CN"/>
        </w:rPr>
        <w:t>110.31</w:t>
      </w:r>
      <w:r>
        <w:rPr>
          <w:rStyle w:val="21"/>
          <w:rFonts w:hint="default" w:hAnsi="仿宋"/>
        </w:rPr>
        <w:t>万元、其他支出</w:t>
      </w:r>
      <w:r>
        <w:rPr>
          <w:rStyle w:val="22"/>
          <w:rFonts w:hint="eastAsia" w:ascii="仿宋_GB2312" w:hAnsi="仿宋" w:eastAsia="仿宋_GB2312"/>
          <w:lang w:val="en-US" w:eastAsia="zh-CN"/>
        </w:rPr>
        <w:t>91.25</w:t>
      </w:r>
      <w:r>
        <w:rPr>
          <w:rStyle w:val="21"/>
          <w:rFonts w:hint="default" w:hAnsi="仿宋"/>
        </w:rPr>
        <w:t>万元。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5B96CE96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7FEB5162">
      <w:pPr>
        <w:widowControl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743.43</w:t>
      </w:r>
      <w:r>
        <w:rPr>
          <w:rFonts w:hint="eastAsia" w:ascii="仿宋_GB2312" w:hAnsi="仿宋" w:eastAsia="仿宋_GB2312"/>
          <w:sz w:val="32"/>
          <w:szCs w:val="32"/>
        </w:rPr>
        <w:t>万元，比202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减少66.15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减少8.9了</w:t>
      </w:r>
      <w:r>
        <w:rPr>
          <w:rFonts w:hint="eastAsia" w:ascii="仿宋_GB2312" w:hAnsi="仿宋" w:eastAsia="仿宋_GB2312"/>
          <w:sz w:val="32"/>
          <w:szCs w:val="32"/>
        </w:rPr>
        <w:t>%，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</w:t>
      </w:r>
      <w:r>
        <w:rPr>
          <w:rFonts w:hint="eastAsia" w:ascii="仿宋_GB2312" w:hAnsi="仿宋" w:eastAsia="仿宋_GB2312"/>
          <w:sz w:val="32"/>
          <w:szCs w:val="32"/>
        </w:rPr>
        <w:t>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人员减少等。</w:t>
      </w:r>
    </w:p>
    <w:p w14:paraId="1914AA9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716.49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（役）费、抚恤金、生活补助、救济费、医疗费补助、助学金、奖励金、个人农业生产补贴、代缴社会保险费 、其他对个人和家庭的补助等。</w:t>
      </w:r>
    </w:p>
    <w:p w14:paraId="26EF5CD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26.94</w:t>
      </w:r>
      <w:r>
        <w:rPr>
          <w:rFonts w:hint="eastAsia" w:ascii="仿宋_GB2312" w:hAnsi="仿宋" w:eastAsia="仿宋_GB2312"/>
          <w:sz w:val="32"/>
          <w:szCs w:val="32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 w14:paraId="062BFB0D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4B0285F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年一般公共预算财政拨款项目支出预算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万元，比202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万元，增长（减少）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  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52A73CE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经济社会发展项目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个，主要是项目。</w:t>
      </w:r>
    </w:p>
    <w:p w14:paraId="796ADEFD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保障运转经费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个，主要是项目。</w:t>
      </w:r>
    </w:p>
    <w:p w14:paraId="143BFC1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其他项目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个，主要是项目。</w:t>
      </w:r>
    </w:p>
    <w:p w14:paraId="6BC0265A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59E5763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1.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教育支出</w:t>
      </w:r>
      <w:r>
        <w:rPr>
          <w:rFonts w:hint="eastAsia" w:ascii="仿宋_GB2312" w:eastAsia="仿宋_GB2312"/>
          <w:color w:val="000000"/>
          <w:sz w:val="32"/>
          <w:szCs w:val="32"/>
        </w:rPr>
        <w:t>（类）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普通教育</w:t>
      </w:r>
      <w:r>
        <w:rPr>
          <w:rFonts w:hint="eastAsia" w:ascii="仿宋_GB2312" w:eastAsia="仿宋_GB2312"/>
          <w:color w:val="000000"/>
          <w:sz w:val="32"/>
          <w:szCs w:val="32"/>
        </w:rPr>
        <w:t>（款）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小学教育</w:t>
      </w:r>
      <w:r>
        <w:rPr>
          <w:rFonts w:hint="eastAsia" w:ascii="仿宋_GB2312" w:eastAsia="仿宋_GB2312"/>
          <w:color w:val="000000"/>
          <w:sz w:val="32"/>
          <w:szCs w:val="32"/>
        </w:rPr>
        <w:t>（项）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541.87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万元， 比 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减少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51.13</w:t>
      </w:r>
      <w:r>
        <w:rPr>
          <w:rFonts w:hint="eastAsia" w:ascii="仿宋_GB2312" w:eastAsia="仿宋_GB2312"/>
          <w:color w:val="000000"/>
          <w:sz w:val="32"/>
          <w:szCs w:val="32"/>
        </w:rPr>
        <w:t>万元， 主要原因是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人员数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减少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 w14:paraId="58D96CE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2.社会保障和就业支出（类）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行政事业单位养老支出</w:t>
      </w:r>
      <w:r>
        <w:rPr>
          <w:rFonts w:hint="eastAsia" w:ascii="仿宋_GB2312" w:eastAsia="仿宋_GB2312"/>
          <w:color w:val="000000"/>
          <w:sz w:val="32"/>
          <w:szCs w:val="32"/>
        </w:rPr>
        <w:t>（款）机关事业单位基本养老保险缴费支出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、机关事业单位职业年金缴费支出</w:t>
      </w:r>
      <w:r>
        <w:rPr>
          <w:rFonts w:hint="eastAsia" w:ascii="仿宋_GB2312" w:eastAsia="仿宋_GB2312"/>
          <w:color w:val="000000"/>
          <w:sz w:val="32"/>
          <w:szCs w:val="32"/>
        </w:rPr>
        <w:t>（项）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110.31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万元， 比 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年预算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减少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7.22</w:t>
      </w:r>
      <w:r>
        <w:rPr>
          <w:rFonts w:hint="eastAsia" w:ascii="仿宋_GB2312" w:eastAsia="仿宋_GB2312"/>
          <w:color w:val="000000"/>
          <w:sz w:val="32"/>
          <w:szCs w:val="32"/>
        </w:rPr>
        <w:t>万元， 主要原因是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人员减少等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 w14:paraId="739DF27E">
      <w:pPr>
        <w:pStyle w:val="7"/>
        <w:widowControl/>
        <w:shd w:val="clear" w:color="auto" w:fill="FFFFFF"/>
        <w:spacing w:after="240" w:line="560" w:lineRule="exact"/>
        <w:ind w:firstLine="516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卫生健康支出</w:t>
      </w:r>
      <w:r>
        <w:rPr>
          <w:rFonts w:hint="eastAsia" w:ascii="仿宋_GB2312" w:eastAsia="仿宋_GB2312"/>
          <w:color w:val="000000"/>
          <w:sz w:val="32"/>
          <w:szCs w:val="32"/>
        </w:rPr>
        <w:t>（类）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行政事业单位医疗</w:t>
      </w:r>
      <w:r>
        <w:rPr>
          <w:rFonts w:hint="eastAsia" w:ascii="仿宋_GB2312" w:eastAsia="仿宋_GB2312"/>
          <w:color w:val="000000"/>
          <w:sz w:val="32"/>
          <w:szCs w:val="32"/>
        </w:rPr>
        <w:t>（款）事业单位医疗（项）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39.59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万元， 比 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减少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3.27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万</w:t>
      </w:r>
      <w:r>
        <w:rPr>
          <w:rFonts w:hint="eastAsia" w:ascii="仿宋_GB2312" w:eastAsia="仿宋_GB2312"/>
          <w:color w:val="000000"/>
          <w:sz w:val="32"/>
          <w:szCs w:val="32"/>
        </w:rPr>
        <w:t>元， 主要原因是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教师人数减少等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 w14:paraId="336FF92E">
      <w:pPr>
        <w:pStyle w:val="7"/>
        <w:widowControl/>
        <w:shd w:val="clear" w:color="auto" w:fill="FFFFFF"/>
        <w:spacing w:after="240" w:line="560" w:lineRule="exact"/>
        <w:ind w:firstLine="516"/>
        <w:rPr>
          <w:rFonts w:hint="default" w:ascii="仿宋_GB2312" w:hAnsi="仿宋" w:eastAsia="仿宋_GB2312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4.住房保障支出（类）住房改革支出（款）住房公积金（项）2025年预算数为</w:t>
      </w:r>
      <w:r>
        <w:rPr>
          <w:rFonts w:hint="eastAsia" w:ascii="仿宋_GB2312" w:hAnsi="仿宋" w:eastAsia="仿宋_GB2312"/>
          <w:bCs/>
          <w:color w:val="000000"/>
          <w:sz w:val="30"/>
          <w:szCs w:val="30"/>
          <w:lang w:val="en-US" w:eastAsia="zh-CN"/>
        </w:rPr>
        <w:t>51.66</w:t>
      </w: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万元，比2024年预算</w:t>
      </w:r>
      <w:r>
        <w:rPr>
          <w:rFonts w:hint="eastAsia" w:ascii="仿宋_GB2312" w:hAnsi="仿宋" w:eastAsia="仿宋_GB2312"/>
          <w:bCs/>
          <w:color w:val="000000"/>
          <w:sz w:val="30"/>
          <w:szCs w:val="30"/>
          <w:lang w:val="en-US" w:eastAsia="zh-CN"/>
        </w:rPr>
        <w:t>减少4.53</w:t>
      </w: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万元，主要原因是人员</w:t>
      </w:r>
      <w:r>
        <w:rPr>
          <w:rFonts w:hint="eastAsia" w:ascii="仿宋_GB2312" w:hAnsi="仿宋" w:eastAsia="仿宋_GB2312"/>
          <w:bCs/>
          <w:color w:val="000000"/>
          <w:sz w:val="30"/>
          <w:szCs w:val="30"/>
          <w:lang w:val="en-US" w:eastAsia="zh-CN"/>
        </w:rPr>
        <w:t>减少</w:t>
      </w: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。</w:t>
      </w:r>
    </w:p>
    <w:p w14:paraId="14A86CFC">
      <w:pPr>
        <w:pStyle w:val="7"/>
        <w:widowControl/>
        <w:shd w:val="clear" w:color="auto" w:fill="FFFFFF"/>
        <w:spacing w:after="240" w:line="560" w:lineRule="exact"/>
        <w:ind w:firstLine="516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0D74FD0E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63804BE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本单位无“三公”经费预算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D2C1ADA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3E68C9D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本单位无培训费预算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5D9970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32B797D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本单位无会议费预算。</w:t>
      </w:r>
    </w:p>
    <w:p w14:paraId="6AEE1CEA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2543959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本单位无</w:t>
      </w:r>
      <w:r>
        <w:rPr>
          <w:rFonts w:hint="eastAsia" w:ascii="仿宋_GB2312" w:hAnsi="仿宋" w:eastAsia="仿宋_GB2312"/>
          <w:sz w:val="32"/>
          <w:szCs w:val="32"/>
        </w:rPr>
        <w:t>机关运行经费。</w:t>
      </w:r>
    </w:p>
    <w:p w14:paraId="7DCD13B5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49D13F73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年，部门（单位）政府采购预算总额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万元，政府采购工程预算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万元，政府采购服务预算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3B3FE3B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年，部门（单位）面向中小企业预留政府采购项目预算金额  万元，小微企业预留政府采购项目预算金额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00864F1C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16D1A9A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12029.27</w:t>
      </w:r>
      <w:r>
        <w:rPr>
          <w:rFonts w:hint="eastAsia" w:ascii="仿宋_GB2312" w:hAnsi="仿宋" w:eastAsia="仿宋_GB2312"/>
          <w:sz w:val="32"/>
          <w:szCs w:val="32"/>
        </w:rPr>
        <w:t>万元。其中：办公用房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2253.73</w:t>
      </w:r>
      <w:r>
        <w:rPr>
          <w:rFonts w:hint="eastAsia" w:ascii="仿宋_GB2312" w:hAnsi="仿宋" w:eastAsia="仿宋_GB2312"/>
          <w:sz w:val="32"/>
          <w:szCs w:val="32"/>
        </w:rPr>
        <w:t>平方米，价值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1734.46</w:t>
      </w:r>
      <w:r>
        <w:rPr>
          <w:rFonts w:hint="eastAsia" w:ascii="仿宋_GB2312" w:hAnsi="仿宋" w:eastAsia="仿宋_GB2312"/>
          <w:sz w:val="32"/>
          <w:szCs w:val="32"/>
        </w:rPr>
        <w:t>万元。预算部门（单位）共有公务用车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 辆，价值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万元。单价20万元以上的设备价值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431.27</w:t>
      </w:r>
      <w:r>
        <w:rPr>
          <w:rFonts w:hint="eastAsia" w:ascii="仿宋_GB2312" w:hAnsi="仿宋" w:eastAsia="仿宋_GB2312"/>
          <w:sz w:val="32"/>
          <w:szCs w:val="32"/>
        </w:rPr>
        <w:t>万元。202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年拟采购固定资产约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2D33F6B8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  <w:bookmarkStart w:id="0" w:name="_GoBack"/>
      <w:bookmarkEnd w:id="0"/>
    </w:p>
    <w:p w14:paraId="7393030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70105503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未安排预算，政府性基金预算支出情况表为空表。</w:t>
      </w:r>
    </w:p>
    <w:p w14:paraId="0362A7E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72AE06E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958913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28A47A1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管理转移支付表为空表。</w:t>
      </w:r>
    </w:p>
    <w:p w14:paraId="1A9EA799">
      <w:pPr>
        <w:widowControl/>
        <w:numPr>
          <w:ilvl w:val="0"/>
          <w:numId w:val="1"/>
        </w:numPr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部门管理转移支付情况</w:t>
      </w:r>
    </w:p>
    <w:p w14:paraId="086CDC3D">
      <w:pPr>
        <w:widowControl/>
        <w:numPr>
          <w:ilvl w:val="0"/>
          <w:numId w:val="0"/>
        </w:numPr>
        <w:adjustRightInd w:val="0"/>
        <w:snapToGrid w:val="0"/>
        <w:spacing w:line="640" w:lineRule="exact"/>
        <w:ind w:firstLine="960" w:firstLineChars="3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管理转移支付表为空表。</w:t>
      </w:r>
    </w:p>
    <w:p w14:paraId="47703BB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3BA65C3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 w14:paraId="43CBFC0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4684640E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（一）202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2C5EF4C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73227C9A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整体支出，按规定随年度预算一并公开，公开率为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3E66E525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</w:rPr>
        <w:t>2024年7月，组织开展1-6月绩效运行监控项目2个，占本单位项目的100%。截至7月底，如期完成预算执行和绩效目标指标值的项目2个，完成率为100%。开展1-9月绩效运行监控项目2个，占本部门（单位）项目的100%。截至10月底，如期完成预算执行和绩效目标指标值的项目2个，完成率为100%。</w:t>
      </w:r>
    </w:p>
    <w:p w14:paraId="5EF78EF2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年度，组织开展绩效自评，绩效自评覆盖率为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%。绩效自评结果随部门决算报送财政和随决算公开情况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：已完成单位整体支出绩效自评并报送财政，拟随决算一并公开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BFB884F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647893D6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（二）202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0568593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2025年，纳入部单位预算绩效目标管理的项目1个。其中，部门整体支出绩效目标围绕部门管理、履职效果、能力建设三个维度，设置二级指标11个、三级指标 12个；项目支出绩效目标围绕成本指标、产出指标、效益指标、满意度指标四个维度，设置二级指标 10个、三级指标10个。各项绩效目标内容指向明确、细化量化、合理可行，符合规定的格式要求。</w:t>
      </w:r>
    </w:p>
    <w:p w14:paraId="4C4DBF9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6614396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784BC2B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4396597F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11EE2EF4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79C2D9C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0F0A3A60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6017557F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1EF4CCC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7DF74254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……</w:t>
      </w:r>
    </w:p>
    <w:p w14:paraId="6E36326E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695F5D98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7E76551C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6DD82952">
      <w:pPr>
        <w:adjustRightInd w:val="0"/>
        <w:snapToGrid w:val="0"/>
        <w:spacing w:line="640" w:lineRule="exact"/>
        <w:ind w:right="1120" w:firstLine="3520" w:firstLineChars="1100"/>
        <w:contextualSpacing/>
        <w:jc w:val="both"/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华池县城壕镇新城小学</w:t>
      </w:r>
    </w:p>
    <w:p w14:paraId="1D5A72D9">
      <w:pPr>
        <w:adjustRightInd w:val="0"/>
        <w:snapToGrid w:val="0"/>
        <w:spacing w:line="640" w:lineRule="exact"/>
        <w:ind w:right="1120"/>
        <w:contextualSpacing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      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285307C3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1.××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名称 202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12EF3F04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2.××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名称 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62EAFF00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44F12">
    <w:pPr>
      <w:pStyle w:val="5"/>
      <w:jc w:val="center"/>
    </w:pPr>
  </w:p>
  <w:p w14:paraId="584CD0B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2F54C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34C4B6F4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C80A1F"/>
    <w:multiLevelType w:val="singleLevel"/>
    <w:tmpl w:val="F2C80A1F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wMjI5ZDY4ZjExNWY5ZjU0NzdiNmI0MjczMTc3NTg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04C93D12"/>
    <w:rsid w:val="0504766B"/>
    <w:rsid w:val="08400A90"/>
    <w:rsid w:val="09153A5B"/>
    <w:rsid w:val="0B062CF9"/>
    <w:rsid w:val="0F1F3AF7"/>
    <w:rsid w:val="0F4A71E2"/>
    <w:rsid w:val="0F7A51C8"/>
    <w:rsid w:val="113741D2"/>
    <w:rsid w:val="162B2279"/>
    <w:rsid w:val="1D34261E"/>
    <w:rsid w:val="230F0560"/>
    <w:rsid w:val="24F01D48"/>
    <w:rsid w:val="290B76D3"/>
    <w:rsid w:val="2AC1385C"/>
    <w:rsid w:val="307118A4"/>
    <w:rsid w:val="371C708F"/>
    <w:rsid w:val="37744B63"/>
    <w:rsid w:val="39E03648"/>
    <w:rsid w:val="3AFD61EB"/>
    <w:rsid w:val="3C0D24FF"/>
    <w:rsid w:val="3D890F32"/>
    <w:rsid w:val="3D9F7A2D"/>
    <w:rsid w:val="42A05423"/>
    <w:rsid w:val="45DC2E17"/>
    <w:rsid w:val="47FC4AB9"/>
    <w:rsid w:val="4C433C79"/>
    <w:rsid w:val="527E074E"/>
    <w:rsid w:val="53091734"/>
    <w:rsid w:val="56393C72"/>
    <w:rsid w:val="579503FF"/>
    <w:rsid w:val="5A6C083F"/>
    <w:rsid w:val="5BC85E7E"/>
    <w:rsid w:val="5DD1193F"/>
    <w:rsid w:val="5F3D1246"/>
    <w:rsid w:val="5FC23E06"/>
    <w:rsid w:val="60535296"/>
    <w:rsid w:val="61E0225C"/>
    <w:rsid w:val="65860657"/>
    <w:rsid w:val="68532F91"/>
    <w:rsid w:val="696B3725"/>
    <w:rsid w:val="6A1D3904"/>
    <w:rsid w:val="6B601EC4"/>
    <w:rsid w:val="6BED6084"/>
    <w:rsid w:val="6EB26D11"/>
    <w:rsid w:val="6F473555"/>
    <w:rsid w:val="701A692C"/>
    <w:rsid w:val="702E3465"/>
    <w:rsid w:val="72FD2525"/>
    <w:rsid w:val="752B0670"/>
    <w:rsid w:val="758B2524"/>
    <w:rsid w:val="78106856"/>
    <w:rsid w:val="783B3804"/>
    <w:rsid w:val="7959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autoRedefine/>
    <w:qFormat/>
    <w:uiPriority w:val="0"/>
    <w:pPr>
      <w:jc w:val="left"/>
    </w:pPr>
  </w:style>
  <w:style w:type="paragraph" w:styleId="4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3"/>
    <w:next w:val="3"/>
    <w:link w:val="20"/>
    <w:autoRedefine/>
    <w:qFormat/>
    <w:uiPriority w:val="0"/>
    <w:rPr>
      <w:b/>
      <w:bCs/>
    </w:rPr>
  </w:style>
  <w:style w:type="character" w:styleId="11">
    <w:name w:val="line number"/>
    <w:autoRedefine/>
    <w:qFormat/>
    <w:uiPriority w:val="0"/>
  </w:style>
  <w:style w:type="character" w:styleId="12">
    <w:name w:val="annotation reference"/>
    <w:autoRedefine/>
    <w:qFormat/>
    <w:uiPriority w:val="0"/>
    <w:rPr>
      <w:sz w:val="21"/>
      <w:szCs w:val="21"/>
    </w:rPr>
  </w:style>
  <w:style w:type="character" w:customStyle="1" w:styleId="13">
    <w:name w:val="页脚 Char"/>
    <w:link w:val="5"/>
    <w:autoRedefine/>
    <w:qFormat/>
    <w:uiPriority w:val="0"/>
    <w:rPr>
      <w:sz w:val="18"/>
      <w:szCs w:val="18"/>
    </w:rPr>
  </w:style>
  <w:style w:type="character" w:customStyle="1" w:styleId="14">
    <w:name w:val="页眉 Char"/>
    <w:link w:val="6"/>
    <w:autoRedefine/>
    <w:qFormat/>
    <w:uiPriority w:val="0"/>
    <w:rPr>
      <w:sz w:val="18"/>
      <w:szCs w:val="18"/>
    </w:rPr>
  </w:style>
  <w:style w:type="paragraph" w:styleId="15">
    <w:name w:val="List Paragraph"/>
    <w:basedOn w:val="1"/>
    <w:autoRedefine/>
    <w:qFormat/>
    <w:uiPriority w:val="0"/>
    <w:pPr>
      <w:ind w:firstLine="420" w:firstLineChars="200"/>
    </w:pPr>
  </w:style>
  <w:style w:type="character" w:customStyle="1" w:styleId="16">
    <w:name w:val="批注框文本 Char"/>
    <w:link w:val="4"/>
    <w:autoRedefine/>
    <w:qFormat/>
    <w:uiPriority w:val="0"/>
    <w:rPr>
      <w:kern w:val="2"/>
      <w:sz w:val="18"/>
      <w:szCs w:val="18"/>
    </w:rPr>
  </w:style>
  <w:style w:type="character" w:customStyle="1" w:styleId="17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8">
    <w:name w:val="TOC Heading"/>
    <w:basedOn w:val="2"/>
    <w:next w:val="1"/>
    <w:autoRedefine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9">
    <w:name w:val="批注文字 Char"/>
    <w:link w:val="3"/>
    <w:autoRedefine/>
    <w:qFormat/>
    <w:uiPriority w:val="0"/>
    <w:rPr>
      <w:kern w:val="2"/>
      <w:sz w:val="21"/>
      <w:szCs w:val="22"/>
    </w:rPr>
  </w:style>
  <w:style w:type="character" w:customStyle="1" w:styleId="20">
    <w:name w:val="批注主题 Char"/>
    <w:link w:val="8"/>
    <w:autoRedefine/>
    <w:qFormat/>
    <w:uiPriority w:val="0"/>
    <w:rPr>
      <w:b/>
      <w:bCs/>
      <w:kern w:val="2"/>
      <w:sz w:val="21"/>
      <w:szCs w:val="22"/>
    </w:rPr>
  </w:style>
  <w:style w:type="character" w:customStyle="1" w:styleId="21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2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3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4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12</Pages>
  <Words>4036</Words>
  <Characters>4320</Characters>
  <Lines>68</Lines>
  <Paragraphs>19</Paragraphs>
  <TotalTime>27</TotalTime>
  <ScaleCrop>false</ScaleCrop>
  <LinksUpToDate>false</LinksUpToDate>
  <CharactersWithSpaces>4386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木槿流年</cp:lastModifiedBy>
  <cp:lastPrinted>2022-02-15T07:45:00Z</cp:lastPrinted>
  <dcterms:modified xsi:type="dcterms:W3CDTF">2025-02-11T08:23:31Z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4746AA2B63644A919A7677ADD6665D0C</vt:lpwstr>
  </property>
  <property fmtid="{D5CDD505-2E9C-101B-9397-08002B2CF9AE}" pid="4" name="KSOTemplateDocerSaveRecord">
    <vt:lpwstr>eyJoZGlkIjoiN2VhOGZiMTc1YWRmMjgxYzUyZGIzNTIyN2NlYTNiY2EiLCJ1c2VySWQiOiI5Mzk4NTQ2MjkifQ==</vt:lpwstr>
  </property>
</Properties>
</file>