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B65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中国共产党华池县委员会统一战线工作部</w:t>
      </w:r>
    </w:p>
    <w:p w14:paraId="0AC2689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年部门预算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公开情况说明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8F1AFF6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3C39A6F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县委统战部贯彻落实党中央、省委、市委和县委关于统一战线工作、民族宗教工作、对台工作、侨务工作、工商联工作的方针政策和决策部署，在履行职责过程中坚持和加强党对统一战线工作、民族宗教工作、对台工作、侨务工作、工商联工作集中统一领导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D022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中共华池县委统一战线工作部（以下简称县委统战部）是县委工作机关,为副县级。华池县民族宗教局（以下简称县民宗局）与县委统战部合署办公，实行一套工作机构、两个机关名称。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2C18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41BFD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332.65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332.65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332.65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3BE5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其他收入。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332.65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226.65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68.13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106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31.87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 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332.65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286.48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26.11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8.11万元、住房保障支出119.5万元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226.65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单位新晋四级调研员、八级职员各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1名，工资福利支出、运行经费支出增加。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160.31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66.34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6333BC4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8.62</w:t>
      </w:r>
      <w:r>
        <w:rPr>
          <w:rFonts w:hint="eastAsia" w:ascii="仿宋_GB2312" w:hAnsi="仿宋" w:eastAsia="仿宋_GB2312"/>
          <w:sz w:val="32"/>
          <w:szCs w:val="32"/>
        </w:rPr>
        <w:t>%，减少的主要原因是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2024年预算全省民族团结进步示范县创建经费50万元，2025年未预算，预算铸牢中华民族共同体意识资金40万元，减少10万元。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D7F353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民族宗教经费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20万元、民主党派及“两新组织”经费10万元、陇东南民族团结进步创建经费30万元、铸牢中华民族共同体意识资金40万元、宗教界人士生活补助6万元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5DDEE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color w:val="000000"/>
          <w:sz w:val="32"/>
          <w:szCs w:val="32"/>
        </w:rPr>
        <w:t>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286.48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 w14:paraId="02BCB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26.11万元。</w:t>
      </w:r>
    </w:p>
    <w:p w14:paraId="1F453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>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8.11万元。</w:t>
      </w:r>
    </w:p>
    <w:p w14:paraId="3CB233F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eastAsia="仿宋_GB2312"/>
          <w:color w:val="000000"/>
          <w:sz w:val="32"/>
          <w:szCs w:val="32"/>
        </w:rPr>
        <w:t>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11.95万元。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A21A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万元，较2023年预算增加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5E14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4D39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万元，较2023年预算增加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工作需要，预算公务接待费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99055A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6C09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66.34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与上年持平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13.66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13.66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A654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16.9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3F6C9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2DB3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4AD81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63F1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本部门/单位2024年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A70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867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本单位年初预算未安排经济社会发展类项目项目支出，无重点项目说明。</w:t>
      </w:r>
    </w:p>
    <w:p w14:paraId="0006D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E8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43624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9700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单位整体支出绩效指标设置不够合理，还需进一步优化，今后将按照《县级预算绩效管理办法》相关要求，进一步加强预算绩效管理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98F3B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   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财政局决算及绩效公开要求，及时在官网进行公开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我单位一直以来严格控制预算，加大预算执行力度，保证各项工作的正常开展和各项资金的落实，管好财务收支，及时分析和管理财务计划的执行情况，经常检查财务纪律的遵守情况。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4A1D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96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中共华池县委统战部</w:t>
      </w:r>
    </w:p>
    <w:p w14:paraId="7009E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contextualSpacing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76F9165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中共华池县委统战部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中共华池县委统战部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3A50E9"/>
    <w:rsid w:val="02E03DF9"/>
    <w:rsid w:val="113741D2"/>
    <w:rsid w:val="18330BA7"/>
    <w:rsid w:val="1D34261E"/>
    <w:rsid w:val="1F421511"/>
    <w:rsid w:val="3B242A31"/>
    <w:rsid w:val="42A05423"/>
    <w:rsid w:val="4B932B77"/>
    <w:rsid w:val="4C433C79"/>
    <w:rsid w:val="517C3F22"/>
    <w:rsid w:val="527E074E"/>
    <w:rsid w:val="56393C72"/>
    <w:rsid w:val="56635F07"/>
    <w:rsid w:val="579503FF"/>
    <w:rsid w:val="60535296"/>
    <w:rsid w:val="72FD2525"/>
    <w:rsid w:val="73905BE7"/>
    <w:rsid w:val="759929D8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4809</Words>
  <Characters>5046</Characters>
  <Lines>68</Lines>
  <Paragraphs>19</Paragraphs>
  <TotalTime>308</TotalTime>
  <ScaleCrop>false</ScaleCrop>
  <LinksUpToDate>false</LinksUpToDate>
  <CharactersWithSpaces>5516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披荆斩棘</cp:lastModifiedBy>
  <cp:lastPrinted>2022-02-15T07:45:00Z</cp:lastPrinted>
  <dcterms:modified xsi:type="dcterms:W3CDTF">2025-02-10T09:00:16Z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eyJoZGlkIjoiYjVlODgzNzEyZDM3NmI5YzJhMWM3NTBjNmMxNDJmMTUiLCJ1c2VySWQiOiIyMzk5ODE0ODIifQ==</vt:lpwstr>
  </property>
</Properties>
</file>