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 xml:space="preserve">华池县职业中等专业学校 </w:t>
      </w:r>
    </w:p>
    <w:p w14:paraId="645E99A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2025年部门/单位预算情况说明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2025年部门（单位）预算公开表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563A49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06B6F5B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华池县职业中等专业学校</w:t>
      </w:r>
      <w:r>
        <w:rPr>
          <w:rFonts w:hint="eastAsia" w:ascii="Times New Roman" w:hAnsi="Times New Roman" w:eastAsia="仿宋_GB2312"/>
          <w:sz w:val="32"/>
          <w:szCs w:val="32"/>
        </w:rPr>
        <w:t>华池县教育局下属的二级单位</w:t>
      </w:r>
      <w:r>
        <w:rPr>
          <w:rFonts w:ascii="Times New Roman" w:hAnsi="Times New Roman" w:eastAsia="仿宋_GB2312"/>
          <w:sz w:val="32"/>
          <w:szCs w:val="32"/>
        </w:rPr>
        <w:t>。主要职责是:</w:t>
      </w:r>
      <w:r>
        <w:rPr>
          <w:rFonts w:hint="eastAsia" w:ascii="仿宋_GB2312" w:eastAsia="仿宋_GB2312" w:cs="仿宋_GB2312"/>
          <w:sz w:val="32"/>
          <w:szCs w:val="32"/>
        </w:rPr>
        <w:t>负责全县各级各类职业教育、培训工作。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B7A3E4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华池县职业中等专业学校</w:t>
      </w:r>
      <w:r>
        <w:rPr>
          <w:rFonts w:hint="eastAsia" w:ascii="仿宋_GB2312" w:hAnsi="仿宋" w:eastAsia="仿宋_GB2312"/>
          <w:sz w:val="32"/>
          <w:szCs w:val="32"/>
        </w:rPr>
        <w:t>内设七个职能股室,包括:党支部、办公室、教务处、政教处、总务处、工会、团支部。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（二）人员情况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</w:t>
      </w:r>
      <w:r>
        <w:rPr>
          <w:rFonts w:ascii="仿宋_GB2312" w:hAnsi="仿宋" w:eastAsia="仿宋_GB2312"/>
          <w:sz w:val="32"/>
          <w:szCs w:val="32"/>
        </w:rPr>
        <w:t>年度，我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ascii="仿宋_GB2312" w:hAnsi="仿宋" w:eastAsia="仿宋_GB2312"/>
          <w:sz w:val="32"/>
          <w:szCs w:val="32"/>
        </w:rPr>
        <w:t>共有</w:t>
      </w:r>
      <w:r>
        <w:rPr>
          <w:rFonts w:hint="eastAsia" w:ascii="仿宋_GB2312" w:hAnsi="仿宋" w:eastAsia="仿宋_GB2312"/>
          <w:sz w:val="32"/>
          <w:szCs w:val="32"/>
        </w:rPr>
        <w:t>编制73名，其中：</w:t>
      </w:r>
      <w:r>
        <w:rPr>
          <w:rFonts w:ascii="仿宋_GB2312" w:hAnsi="仿宋" w:eastAsia="仿宋_GB2312"/>
          <w:sz w:val="32"/>
          <w:szCs w:val="32"/>
        </w:rPr>
        <w:t>行政编制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名，参公事业编制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名，事业编制</w:t>
      </w:r>
      <w:r>
        <w:rPr>
          <w:rFonts w:hint="eastAsia" w:ascii="仿宋_GB2312" w:hAnsi="仿宋" w:eastAsia="仿宋_GB2312"/>
          <w:sz w:val="32"/>
          <w:szCs w:val="32"/>
        </w:rPr>
        <w:t>73</w:t>
      </w:r>
      <w:r>
        <w:rPr>
          <w:rFonts w:ascii="仿宋_GB2312" w:hAnsi="仿宋" w:eastAsia="仿宋_GB2312"/>
          <w:sz w:val="32"/>
          <w:szCs w:val="32"/>
        </w:rPr>
        <w:t>名，后勤编制</w:t>
      </w:r>
      <w:r>
        <w:rPr>
          <w:rFonts w:hint="eastAsia" w:ascii="仿宋_GB2312" w:hAnsi="仿宋" w:eastAsia="仿宋_GB2312"/>
          <w:sz w:val="32"/>
          <w:szCs w:val="32"/>
        </w:rPr>
        <w:t>0</w:t>
      </w:r>
      <w:r>
        <w:rPr>
          <w:rFonts w:ascii="仿宋_GB2312" w:hAnsi="仿宋" w:eastAsia="仿宋_GB2312"/>
          <w:sz w:val="32"/>
          <w:szCs w:val="32"/>
        </w:rPr>
        <w:t>名</w:t>
      </w:r>
      <w:r>
        <w:rPr>
          <w:rFonts w:hint="eastAsia" w:ascii="仿宋_GB2312" w:hAnsi="仿宋" w:eastAsia="仿宋_GB2312"/>
          <w:sz w:val="32"/>
          <w:szCs w:val="32"/>
        </w:rPr>
        <w:t>。实有在职人员100人，在编人员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" w:eastAsia="仿宋_GB2312"/>
          <w:sz w:val="32"/>
          <w:szCs w:val="32"/>
        </w:rPr>
        <w:t>人，退休23人，遗属1人。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按照预算管理有关规定，2025年单位收支情况如下：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2025年部门收支总预算1680.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万元。按照综合预算的原则，部门（单位）所有收入和支出均纳入部门预算管理。收入包括：一般公共预算拨款收入1680.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万元。支出包括：教育支出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1232.78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万元；社会保障和就业支出256.36万元；卫生健康支出78.14万元；住房保障支出113.61万元。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2025年收入预算1680.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万元（详见部门/单位预算公开表1,2）。包括：一般公共预算收入1680.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</w:rPr>
        <w:t>万元，占100%；政府性基金预算收入 0万元，占0%；上年结转收入0万元，占0%；其他收入0万元，占0%。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2025年支出预算1680.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>1680.</w:t>
      </w:r>
      <w:r>
        <w:rPr>
          <w:rStyle w:val="21"/>
          <w:rFonts w:hint="eastAsia" w:ascii="仿宋_GB2312" w:hAnsi="仿宋" w:eastAsia="仿宋_GB2312"/>
          <w:lang w:val="en-US" w:eastAsia="zh-CN"/>
        </w:rPr>
        <w:t>89</w:t>
      </w:r>
      <w:r>
        <w:rPr>
          <w:rStyle w:val="20"/>
          <w:rFonts w:hint="default" w:hAnsi="仿宋"/>
        </w:rPr>
        <w:t xml:space="preserve">万元， 占 </w:t>
      </w:r>
      <w:r>
        <w:rPr>
          <w:rStyle w:val="21"/>
          <w:rFonts w:hint="eastAsia" w:ascii="仿宋_GB2312" w:hAnsi="仿宋" w:eastAsia="仿宋_GB2312"/>
        </w:rPr>
        <w:t>100%</w:t>
      </w:r>
      <w:r>
        <w:rPr>
          <w:rStyle w:val="20"/>
          <w:rFonts w:hint="default" w:hAnsi="仿宋"/>
        </w:rPr>
        <w:t xml:space="preserve">； 项目支出 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>0 %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>0%</w:t>
      </w:r>
      <w:r>
        <w:rPr>
          <w:rStyle w:val="20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</w:rPr>
        <w:t xml:space="preserve">2025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</w:rPr>
        <w:t>1680.</w:t>
      </w:r>
      <w:r>
        <w:rPr>
          <w:rStyle w:val="21"/>
          <w:rFonts w:hint="eastAsia" w:ascii="仿宋_GB2312" w:hAnsi="仿宋" w:eastAsia="仿宋_GB2312"/>
          <w:lang w:val="en-US" w:eastAsia="zh-CN"/>
        </w:rPr>
        <w:t>89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</w:rPr>
        <w:t>1</w:t>
      </w:r>
      <w:r>
        <w:rPr>
          <w:rStyle w:val="21"/>
          <w:rFonts w:hint="eastAsia" w:ascii="仿宋_GB2312" w:hAnsi="仿宋" w:eastAsia="仿宋_GB2312"/>
          <w:lang w:val="en-US" w:eastAsia="zh-CN"/>
        </w:rPr>
        <w:t>232.78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>256.36</w:t>
      </w:r>
      <w:r>
        <w:rPr>
          <w:rStyle w:val="20"/>
          <w:rFonts w:hint="default" w:hAnsi="仿宋"/>
        </w:rPr>
        <w:t>万元、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78.14万元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113.61万元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2025年基本支出1680.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" w:eastAsia="仿宋_GB2312"/>
          <w:sz w:val="32"/>
          <w:szCs w:val="32"/>
        </w:rPr>
        <w:t>万元，比2024年预算减少20.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" w:eastAsia="仿宋_GB2312"/>
          <w:sz w:val="32"/>
          <w:szCs w:val="32"/>
        </w:rPr>
        <w:t>万元，增长，下降1.2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%，下降的主要原因是2025年人员调出。 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其中：人员经费支出1574.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488.30万元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537.28万元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100.69万元</w:t>
      </w:r>
      <w:r>
        <w:rPr>
          <w:rFonts w:hint="eastAsia" w:ascii="仿宋_GB2312" w:hAnsi="仿宋" w:eastAsia="仿宋_GB2312"/>
          <w:sz w:val="32"/>
          <w:szCs w:val="32"/>
        </w:rPr>
        <w:t>、机关事业单位基本养老保险缴费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154.36万元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77.18万元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61.54万元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16.61万元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24.81万元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113.61万元</w:t>
      </w:r>
      <w:r>
        <w:rPr>
          <w:rFonts w:hint="eastAsia" w:ascii="仿宋_GB2312" w:hAnsi="仿宋" w:eastAsia="仿宋_GB2312"/>
          <w:sz w:val="32"/>
          <w:szCs w:val="32"/>
        </w:rPr>
        <w:t>、其他对个人和家庭的补助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0.35万元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公用经费支出106.16万元，主要包括：取暖费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57.55万元</w:t>
      </w:r>
      <w:r>
        <w:rPr>
          <w:rFonts w:hint="eastAsia" w:ascii="仿宋_GB2312" w:hAnsi="仿宋" w:eastAsia="仿宋_GB2312"/>
          <w:sz w:val="32"/>
          <w:szCs w:val="32"/>
        </w:rPr>
        <w:t>、工会经费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11.36万元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23.67万元、其他商品和服务支出（体检费）13.58万元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597376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2025年一般公共预算财政拨款项目支出预算0万元，比2024年预算增加（减少）0万元，增长（减少）0%。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 0个。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保障运转经费0个。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 0 个。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016E60A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1.教育支出（类）职业教育（款） 中等职业教育（项）2025 年预算数为</w:t>
      </w:r>
      <w:r>
        <w:rPr>
          <w:rStyle w:val="21"/>
          <w:rFonts w:hint="eastAsia" w:ascii="仿宋_GB2312" w:hAnsi="仿宋" w:eastAsia="仿宋_GB2312"/>
        </w:rPr>
        <w:t>1</w:t>
      </w:r>
      <w:r>
        <w:rPr>
          <w:rStyle w:val="21"/>
          <w:rFonts w:hint="eastAsia" w:ascii="仿宋_GB2312" w:hAnsi="仿宋" w:eastAsia="仿宋_GB2312"/>
          <w:lang w:val="en-US" w:eastAsia="zh-CN"/>
        </w:rPr>
        <w:t>232.43</w:t>
      </w:r>
      <w:r>
        <w:rPr>
          <w:rFonts w:hint="eastAsia" w:ascii="仿宋_GB2312" w:hAnsi="仿宋" w:eastAsia="仿宋_GB2312"/>
          <w:sz w:val="32"/>
          <w:szCs w:val="32"/>
        </w:rPr>
        <w:t>万元， 比 2024 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29.83</w:t>
      </w:r>
      <w:r>
        <w:rPr>
          <w:rFonts w:hint="eastAsia" w:ascii="仿宋_GB2312" w:hAnsi="仿宋" w:eastAsia="仿宋_GB2312"/>
          <w:sz w:val="32"/>
          <w:szCs w:val="32"/>
        </w:rPr>
        <w:t>万元， 主要原因是2025年职工人数减少。</w:t>
      </w:r>
    </w:p>
    <w:p w14:paraId="027E416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2.社会保障和就业支出（类）行政事业单位养老支出（款）机关事业单位基本养老保险缴费支出、机关事业单位职业年金缴费支出（项）2025年预算数为256.36万元， 比2024年预算增加13.33万元， 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2025年包括残疾人就业保障金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0A0E83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3.卫生健康支出（类）行政事业单位医疗（款）事业单位医疗（项）2025年预算数为78.14万元， 比2024年预算减少1.8万元， 主要原因2025年职工人数减少。</w:t>
      </w:r>
    </w:p>
    <w:p w14:paraId="6CEEE8F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住房公积金2025年预算数为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113.61万元，比2024年预算减少2.58万元，</w:t>
      </w:r>
      <w:r>
        <w:rPr>
          <w:rFonts w:hint="eastAsia" w:ascii="仿宋_GB2312" w:hAnsi="仿宋" w:eastAsia="仿宋_GB2312"/>
          <w:sz w:val="32"/>
          <w:szCs w:val="32"/>
        </w:rPr>
        <w:t>主要原因2025年职工人数减少。</w:t>
      </w:r>
      <w:bookmarkStart w:id="0" w:name="_GoBack"/>
      <w:bookmarkEnd w:id="0"/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 0万元，较2024年预算增加（减少）0万元。</w:t>
      </w:r>
    </w:p>
    <w:p w14:paraId="3612CD5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1.因公出国（境）费用0万元，较2024年预算增加（减少）0万元，增长（下降）0%，增长（下降）的主要原因是学校无因公出国（境）预算支出。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2.公务接待费0万元，较2024年预算增加（减少）0万元，增长（下降）0%，增长（下降）的主要原因是学校无公务接待预算支出。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3.公务用车购置及运行维护费0万元，学校无公务用车预算支出。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4.培训费0万元，学校无培训费预算支出。。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0C1AA7B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5.会议费0万元，学校无会议费预算支出。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50D731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机关运行经费0万元，学校属于全额拨款事业单位，无机关运行经费支出。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2025年，单位政府采购预算总额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2025年，单位面向中小企业预留政府采购项目预算金额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10393.93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7462.23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2295.40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674.85</w:t>
      </w:r>
      <w:r>
        <w:rPr>
          <w:rFonts w:hint="eastAsia" w:ascii="仿宋_GB2312" w:hAnsi="仿宋" w:eastAsia="仿宋_GB2312"/>
          <w:sz w:val="32"/>
          <w:szCs w:val="32"/>
        </w:rPr>
        <w:t>万元。2025年拟采购固定资产约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578D21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。”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2025年，本单位年初预算未安排项目支出，无重点项目说明。”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2025年，未安排预算，单位管理转移支付表为空表。”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52F0858D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（一）2025年预算绩效管理工作情况。</w:t>
      </w:r>
    </w:p>
    <w:p w14:paraId="7040413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6C121D3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2025年度，按照“谁申请资金，谁设置目标”的原则，纳入部门预算管理的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1个，按规定随年度预算一并公开项目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个，公开率为100 %。</w:t>
      </w:r>
    </w:p>
    <w:p w14:paraId="0DF89397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2025年7月，组织开展1-6月绩效运行监控项目1个，占本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项目的100%。截至7月底，如期完成预算执行和绩效目标指标值的项目0个，完成率为 0%。开展1-9月绩效运行监控项目0个，占本单位项目的 0%。截至10月底，如期完成预算执行和绩效目标指标值的项目0个，完成率为0%。</w:t>
      </w:r>
    </w:p>
    <w:p w14:paraId="1442C70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2025年度，组织开展绩效自评项目共1个，其中，部门（单位）整体支出1个，项目支出0个，转移支付项目0个，绩效自评覆盖率为100%。绩效自评结果随部门决算报送财政和随决算公开情况：</w:t>
      </w:r>
      <w:r>
        <w:rPr>
          <w:rFonts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已完成单位整体支出绩效自评并报送财政，拟随决算一并公开</w:t>
      </w:r>
      <w:r>
        <w:rPr>
          <w:rFonts w:hint="eastAsia" w:ascii="仿宋_GB2312" w:hAnsi="宋体" w:eastAsia="仿宋_GB2312" w:cs="仿宋_GB2312"/>
          <w:color w:val="333333"/>
          <w:sz w:val="31"/>
          <w:szCs w:val="31"/>
          <w:shd w:val="clear" w:color="auto" w:fill="FFFFFF"/>
        </w:rPr>
        <w:t>。</w:t>
      </w:r>
    </w:p>
    <w:p w14:paraId="60D9E96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根据2025年度绩效运行监控、绩效自评等情况，当年盘活财政资金0万元，2025年度增加（减少）部门预算项目0个，增长率/压减率0%。同时对政策和项目资金管理作出调整的0  个。</w:t>
      </w:r>
    </w:p>
    <w:p w14:paraId="22DAEA8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（二）2025年绩效目标编制情况</w:t>
      </w:r>
    </w:p>
    <w:p w14:paraId="43652BE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单位预算绩效目标管理的项目1个。其中，部门整体支出绩效目标围绕部门管理、履职效果、能力建设三个维度，设置二级指标10个、三级指标15个；各项绩效目标内容指向明确、细化量化、合理可行，符合规定的格式要求。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华池县职业中等专业学校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2025 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2 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月 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10 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564AE19A">
      <w:pPr>
        <w:adjustRightInd w:val="0"/>
        <w:snapToGrid w:val="0"/>
        <w:spacing w:line="640" w:lineRule="exact"/>
        <w:ind w:right="960"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 w14:paraId="0358E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958" w:firstLine="560" w:firstLineChars="200"/>
        <w:contextualSpacing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华池县职业中等专业学校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958" w:firstLine="640" w:firstLineChars="200"/>
        <w:contextualSpacing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华池县职业中等专业学校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6AC5"/>
    <w:rsid w:val="002B7BA1"/>
    <w:rsid w:val="002C01BB"/>
    <w:rsid w:val="002C3FA4"/>
    <w:rsid w:val="002E04FE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037C6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B5A72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2A4F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3FC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15083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673FA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0643E6"/>
    <w:rsid w:val="113741D2"/>
    <w:rsid w:val="18330BA7"/>
    <w:rsid w:val="1D34261E"/>
    <w:rsid w:val="1D9A1F71"/>
    <w:rsid w:val="221F5444"/>
    <w:rsid w:val="22E622B1"/>
    <w:rsid w:val="33FE0F6A"/>
    <w:rsid w:val="3481313A"/>
    <w:rsid w:val="36594128"/>
    <w:rsid w:val="3D90447A"/>
    <w:rsid w:val="3F3A4717"/>
    <w:rsid w:val="42A05423"/>
    <w:rsid w:val="49F155BF"/>
    <w:rsid w:val="4C433C79"/>
    <w:rsid w:val="527E074E"/>
    <w:rsid w:val="56393C72"/>
    <w:rsid w:val="579503FF"/>
    <w:rsid w:val="60535296"/>
    <w:rsid w:val="72FD2525"/>
    <w:rsid w:val="78106856"/>
    <w:rsid w:val="7DC30C02"/>
    <w:rsid w:val="7DE339E5"/>
    <w:rsid w:val="7F85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3712</Words>
  <Characters>4074</Characters>
  <Lines>30</Lines>
  <Paragraphs>8</Paragraphs>
  <TotalTime>1</TotalTime>
  <ScaleCrop>false</ScaleCrop>
  <LinksUpToDate>false</LinksUpToDate>
  <CharactersWithSpaces>4123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2025-02-11T10:01:33Z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eyJoZGlkIjoiMTBkNTFlMzA1NTJmNWNiOGJmNTk4N2NlMTRiMWMxMDUifQ==</vt:lpwstr>
  </property>
</Properties>
</file>