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A82952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华池县悦乐工业集中区管理委员会                 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75BEDC15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29EFC2AF">
      <w:pPr>
        <w:spacing w:before="100" w:beforeLines="0" w:after="100" w:afterLines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bookmarkStart w:id="0" w:name="OLE_LINK5"/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华池县悦乐工业集中区党工委、管委会贯彻落实国家、省、市以及县委、县政府关于工业集中区建设等工作的方针政策、决策部署，在履行职责过程中坚持和加强党的集中统一领导。主要职责:</w:t>
      </w:r>
    </w:p>
    <w:p w14:paraId="7FEF8E7A">
      <w:pPr>
        <w:spacing w:before="100" w:beforeLines="0" w:after="100" w:afterLines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贯彻执行党的路线方针政策，研究解决工业集中区建设和发展中的重大问题，根据工业集中区功能定位、产业布局，集合国家、省、市有关政策导向，统筹拟订工业集中区中长期发展规划和年度发展计划，负责拟订统一的支持政策，建立健全投融资体制和收入分配机制，强化经济管理和投资服务。</w:t>
      </w:r>
    </w:p>
    <w:p w14:paraId="119062B1">
      <w:pPr>
        <w:spacing w:before="100" w:beforeLines="0" w:after="100" w:afterLines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负责工业集中区党的建设、纪检监察、组织人事、干部队伍、群团组织、法治建设等工作。</w:t>
      </w:r>
    </w:p>
    <w:p w14:paraId="3B90DA4B">
      <w:pPr>
        <w:spacing w:before="100" w:beforeLines="0" w:after="100" w:afterLines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负责工业集中区综合事务、财政预决算、国有资产管理及后勤保障服务等工作。</w:t>
      </w:r>
    </w:p>
    <w:p w14:paraId="4ECFB576">
      <w:pPr>
        <w:spacing w:before="100" w:beforeLines="0" w:after="100" w:afterLines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会同有关部门做好土地储备和征迁工作，对入驻企业项目建设方案进行审核，并督促实施。</w:t>
      </w:r>
    </w:p>
    <w:p w14:paraId="135DE772">
      <w:pPr>
        <w:spacing w:before="100" w:beforeLines="0" w:after="100" w:afterLines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负责工业集中区经济建设、科技创新、节能减排等。按规定权限，负责投资项目入园审核、备案审批等工作。</w:t>
      </w:r>
    </w:p>
    <w:p w14:paraId="15565A65">
      <w:pPr>
        <w:spacing w:before="100" w:beforeLines="0" w:after="100" w:afterLines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负责编制工业集中区生态环境、应急管理、安全生产和防灾减灾规划，并组织实施和监管；落实工业集中区规划环评、跟踪环评制度，开展环评审查备案。</w:t>
      </w:r>
    </w:p>
    <w:p w14:paraId="39F748FD">
      <w:pPr>
        <w:spacing w:before="100" w:beforeLines="0" w:after="100" w:afterLines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负责工业集中区营商环境、招商引资、合作交流、投资服务，协调落实招商引资优惠政策。</w:t>
      </w:r>
    </w:p>
    <w:p w14:paraId="08653CBB">
      <w:pPr>
        <w:spacing w:before="100" w:beforeLines="0" w:after="100" w:afterLines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负责工业集中区中小企业培育、产业孵化、集中区工业企业运行监测，配合统计部门完成固定资产投资及相关数据上报等入库纳统工作。</w:t>
      </w:r>
    </w:p>
    <w:p w14:paraId="71ED9376">
      <w:pPr>
        <w:spacing w:before="100" w:beforeLines="0" w:after="100" w:afterLines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完成县委、县政府交办的其他工作任务。</w:t>
      </w:r>
    </w:p>
    <w:p w14:paraId="779C9388">
      <w:pPr>
        <w:spacing w:before="100" w:beforeLines="0" w:after="100" w:afterLines="0"/>
        <w:ind w:firstLine="640" w:firstLineChars="20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职能转变。</w:t>
      </w:r>
      <w:bookmarkEnd w:id="0"/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4AA25997">
      <w:pPr>
        <w:spacing w:before="100" w:beforeLines="0" w:after="100" w:afterLines="0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华池县悦乐工业集中区党工委、管委会设下列内设机构。</w:t>
      </w:r>
    </w:p>
    <w:p w14:paraId="43188D60">
      <w:pPr>
        <w:spacing w:before="100" w:beforeLines="0" w:after="100" w:afterLines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办公室。负责党工委、管委会文电、会务、机要、档案、保密、材料起革、制度建设、财务资产、后勤保障和综合协调服务等工作；负责工业集中区党的建设、思想政治建设、意识形态、统一战线、纪检监察、组织人事、干部队伍、机构编制、群团组织、法治建设、职称评聘、督查考评等工作；组织开展调查研究，办理人大代表建议、政协委员提案等工作。</w:t>
      </w:r>
    </w:p>
    <w:p w14:paraId="2AE9E63D">
      <w:pPr>
        <w:spacing w:before="100" w:beforeLines="0" w:after="100" w:afterLines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经济运行股。牵头编制工业集中区总体发展规划、中长期规划和年度发展计划并组织实施；负责拟定集中区招商引资政策，组织参与各种招商引资活动；负责投资者信息、企业项目档案的收集、整理及招商策划、项目库建设；负责工业集中区各项经济指标的统计分析、入库报送、监测分析、考核评价及各类项目计划申报工作；按规定权限，承担投资项目入园审核、备案审批、落地协调及管理服务等工作；负责开展节能减排、科技创新及科技成果转化、企业技术升级改造、中小企业服务平台建设等工作；负责工业集中区政府投资项目专项资金、专项债券、企业债券发行、政策性贷等资金的组织申报、监管使用等工作;协调落实企业各项优惠政策和补助资金，开展劳动纠纷调解及政务服务工作；根据县政府授权履行财政预算、财政收支、各类财政资金管理等工作；负责税收清算管理、税收分配，协助税务部门做好税费征收管理工作。</w:t>
      </w:r>
    </w:p>
    <w:p w14:paraId="473C2548">
      <w:pPr>
        <w:spacing w:before="100" w:beforeLines="0" w:after="100" w:afterLines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规划建设股。根据华池县国土空间总体规划、控制性详细规划，编制各类专项规划，按程序审批后依法组织实施；开展土地节约集约利用评价和地理信息系统的更新、维护与管理等工作；配合做好工业集中区土地储备、用地报批、征收补偿、拆迁安置、土地供应等工作；负责工业集中区建设项目和工程的方案评审、选址报批、项目招投标、施工许可审批、施工质量监管、工程验收等工作；承担园区基础设施的建设管理和维护运营工作。</w:t>
      </w:r>
    </w:p>
    <w:p w14:paraId="0918C370">
      <w:pPr>
        <w:spacing w:before="100" w:beforeLines="0" w:after="100" w:afterLines="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安全环保股。认真贯彻执行中、省、市、县安全生产、环境保护、消防法律法规、方针政策和各项重大决策；负责掌握园区各企业安全生产、环保、消防情况的收集、整理、分析，为县委、县政府及管委会进行安全生产科学决策和工作部署提供依据；负责园区内各企业安全生产的监督、检查和隐患排查；配合相关部门进行安全生产的宣传、教育、专项整治活动；完成领导交办的其他工作。</w:t>
      </w:r>
    </w:p>
    <w:p w14:paraId="316EA88B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76DB884D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按编制部门批复“三定”方案编写</w:t>
      </w:r>
    </w:p>
    <w:p w14:paraId="1A18BC42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23091B34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按编制部门批复“三定”方案编写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163.25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163.25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163.25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163.25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lang w:val="en-US" w:eastAsia="zh-CN"/>
        </w:rPr>
        <w:t>90.08</w:t>
      </w:r>
      <w:r>
        <w:rPr>
          <w:rStyle w:val="20"/>
          <w:rFonts w:hint="default" w:hAnsi="仿宋"/>
        </w:rPr>
        <w:t xml:space="preserve">万元， 占 </w:t>
      </w:r>
      <w:r>
        <w:rPr>
          <w:rStyle w:val="21"/>
          <w:rFonts w:hint="eastAsia" w:ascii="仿宋_GB2312" w:hAnsi="仿宋" w:eastAsia="仿宋_GB2312"/>
          <w:lang w:val="en-US" w:eastAsia="zh-CN"/>
        </w:rPr>
        <w:t>55.18</w:t>
      </w:r>
      <w:r>
        <w:rPr>
          <w:rStyle w:val="21"/>
          <w:rFonts w:hint="eastAsia" w:ascii="仿宋_GB2312" w:hAnsi="仿宋" w:eastAsia="仿宋_GB2312"/>
        </w:rPr>
        <w:t xml:space="preserve"> %</w:t>
      </w:r>
      <w:r>
        <w:rPr>
          <w:rStyle w:val="20"/>
          <w:rFonts w:hint="default" w:hAnsi="仿宋"/>
        </w:rPr>
        <w:t>； 项目支出</w:t>
      </w:r>
      <w:r>
        <w:rPr>
          <w:rStyle w:val="20"/>
          <w:rFonts w:hint="eastAsia" w:hAnsi="仿宋" w:eastAsia="仿宋_GB2312"/>
          <w:lang w:val="en-US" w:eastAsia="zh-CN"/>
        </w:rPr>
        <w:t>73.17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44.82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，</w:t>
      </w:r>
      <w:r>
        <w:rPr>
          <w:rStyle w:val="20"/>
          <w:rFonts w:hint="default" w:hAnsi="仿宋"/>
        </w:rPr>
        <w:t>占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163.25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万元、公共安全支出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万元、教育支出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万元、科学技术支出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  <w:lang w:val="en-US" w:eastAsia="zh-CN"/>
        </w:rPr>
        <w:t>84.47</w:t>
      </w:r>
      <w:r>
        <w:rPr>
          <w:rStyle w:val="20"/>
          <w:rFonts w:hint="default" w:hAnsi="仿宋"/>
        </w:rPr>
        <w:t>万元、其他支出</w:t>
      </w:r>
      <w:r>
        <w:rPr>
          <w:rStyle w:val="21"/>
          <w:rFonts w:hint="eastAsia" w:ascii="仿宋_GB2312" w:hAnsi="仿宋" w:eastAsia="仿宋_GB2312"/>
          <w:lang w:val="en-US" w:eastAsia="zh-CN"/>
        </w:rPr>
        <w:t>78.78</w:t>
      </w:r>
      <w:r>
        <w:rPr>
          <w:rStyle w:val="20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163.25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45.98</w:t>
      </w:r>
      <w:r>
        <w:rPr>
          <w:rFonts w:hint="eastAsia" w:ascii="仿宋_GB2312" w:hAnsi="仿宋" w:eastAsia="仿宋_GB2312"/>
          <w:sz w:val="32"/>
          <w:szCs w:val="32"/>
        </w:rPr>
        <w:t xml:space="preserve"> 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39.21</w:t>
      </w:r>
      <w:r>
        <w:rPr>
          <w:rFonts w:hint="eastAsia" w:ascii="仿宋_GB2312" w:hAnsi="仿宋" w:eastAsia="仿宋_GB2312"/>
          <w:sz w:val="32"/>
          <w:szCs w:val="32"/>
        </w:rPr>
        <w:t xml:space="preserve"> %，增长（下降）的主要原因是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人员增加。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74.8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15.28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3597376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73.17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13.88</w:t>
      </w:r>
      <w:r>
        <w:rPr>
          <w:rFonts w:hint="eastAsia" w:ascii="仿宋_GB2312" w:hAnsi="仿宋" w:eastAsia="仿宋_GB2312"/>
          <w:sz w:val="32"/>
          <w:szCs w:val="32"/>
        </w:rPr>
        <w:t>万元，增长（减少）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23.41</w:t>
      </w:r>
      <w:r>
        <w:rPr>
          <w:rFonts w:hint="eastAsia" w:ascii="仿宋_GB2312" w:hAnsi="仿宋" w:eastAsia="仿宋_GB2312"/>
          <w:sz w:val="32"/>
          <w:szCs w:val="32"/>
        </w:rPr>
        <w:t xml:space="preserve"> %，增长（减少）的主要原因是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园区经济发展需要。</w:t>
      </w:r>
    </w:p>
    <w:p w14:paraId="3629A69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个，主要是项目中小微企业发展专项资金。</w:t>
      </w:r>
    </w:p>
    <w:p w14:paraId="50CA5CE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个，主要是悦乐工业集中区低效用地腾退项目、华池县悦乐工业集中区土地租赁费。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1E181C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一般公共服务（ 类） 纪检监察事务（ 款） 派驻派出机构（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B52960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0.02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C1E118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0F5E9B4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2000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1200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150</w:t>
      </w:r>
      <w:r>
        <w:rPr>
          <w:rFonts w:hint="eastAsia" w:ascii="仿宋_GB2312" w:hAnsi="仿宋" w:eastAsia="仿宋_GB2312"/>
          <w:sz w:val="32"/>
          <w:szCs w:val="32"/>
        </w:rPr>
        <w:t>%，增长（下降）的主要原因是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园区发展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CC675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3.公务用车购置及运行维护费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万元），较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年预算增加（减少）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5.会议费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机关运行经费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%，增长（下降）的主要原因是。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年，部门（单位）政府采购预算总额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万元，其中：政府采购货物预算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    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  万元，小微企业预留政府采购项目预算金额  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上年末固定资产金额为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192.73</w:t>
      </w:r>
      <w:r>
        <w:rPr>
          <w:rFonts w:hint="eastAsia" w:ascii="仿宋_GB2312" w:hAnsi="仿宋" w:eastAsia="仿宋_GB2312"/>
          <w:sz w:val="32"/>
          <w:szCs w:val="32"/>
        </w:rPr>
        <w:t xml:space="preserve">万元。其中：办公用房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4.95</w:t>
      </w:r>
      <w:r>
        <w:rPr>
          <w:rFonts w:hint="eastAsia" w:ascii="仿宋_GB2312" w:hAnsi="仿宋" w:eastAsia="仿宋_GB2312"/>
          <w:sz w:val="32"/>
          <w:szCs w:val="32"/>
        </w:rPr>
        <w:t xml:space="preserve"> 万元。预算部门（单位）共有公务用车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辆，价值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万元。单价20万元以上的设备价值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77905BD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年使用政府性基金预算拨款安排支出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年预算增加（减少）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万元，增长（下降）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3D308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交通运输支出（ 类） 民航发展基金支出（ 款） 民航安全（ 项）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 年预算数为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 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。”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1CFB37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选取1个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部门/单位预算安排的经济社会发展类项目公开项目文本信息，包括项目名称、项目概况、立项依据、实施主体、实施周期、实施计划、年度预算安排、预期总体目标等内容。没有经济社会发展类项目支出的部门/单位可公开其他类项目。</w:t>
      </w:r>
    </w:p>
    <w:p w14:paraId="6B23741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项目名称：</w:t>
      </w:r>
    </w:p>
    <w:p w14:paraId="6B810647">
      <w:pPr>
        <w:widowControl/>
        <w:numPr>
          <w:ilvl w:val="0"/>
          <w:numId w:val="1"/>
        </w:numPr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项目概况：保证工业集中区内工业企业的正常用地。</w:t>
      </w:r>
    </w:p>
    <w:p w14:paraId="4926F7A2">
      <w:pPr>
        <w:widowControl/>
        <w:numPr>
          <w:ilvl w:val="0"/>
          <w:numId w:val="0"/>
        </w:numPr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2、立项依据：县政府十七届18次常务会议3、实施主体：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华池县悦乐工业集中区管委会</w:t>
      </w:r>
    </w:p>
    <w:p w14:paraId="4AB6895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4、实施周期：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1年</w:t>
      </w:r>
    </w:p>
    <w:p w14:paraId="75155F7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5、实施计划：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本年执行</w:t>
      </w:r>
    </w:p>
    <w:p w14:paraId="7B870A6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6、年度预算安排：43.1734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</w:t>
      </w:r>
    </w:p>
    <w:p w14:paraId="472FB6D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7、预期总体目标：保障集中区内企业正常用地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说明：如果本部门没有一般公共预算的项目支出预算，则写“本部门/单位年初预算未安排项目支出，无重点项目说明。”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1B8A02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年，部门管理转移支付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   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5FC3794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年使用国有资本经营预算拨款安排支出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个，公开率为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bookmarkStart w:id="1" w:name="_GoBack"/>
      <w:bookmarkEnd w:id="1"/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年度增加（减少）部门预算项目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个，增长率/压减率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%。同时对政策和项目资金管理作出调整的   个。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年，纳入部门/单位预算绩效目标管理的项目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 xml:space="preserve">个、三级指标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 xml:space="preserve">个；项目支出绩效目标围绕成本指标、产出指标、效益指标、满意度指标四个维度，设置二级指标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 xml:space="preserve">个、三级指标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18C50624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right"/>
        <w:rPr>
          <w:rFonts w:hint="default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华池县悦乐工业集中区管委会</w:t>
      </w:r>
    </w:p>
    <w:p w14:paraId="104DAE91">
      <w:pPr>
        <w:adjustRightInd w:val="0"/>
        <w:snapToGrid w:val="0"/>
        <w:spacing w:line="640" w:lineRule="exact"/>
        <w:ind w:right="1120"/>
        <w:contextualSpacing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0358EE45">
      <w:pPr>
        <w:adjustRightInd w:val="0"/>
        <w:snapToGrid w:val="0"/>
        <w:spacing w:line="640" w:lineRule="exact"/>
        <w:ind w:right="960" w:firstLine="960" w:firstLineChars="300"/>
        <w:contextualSpacing/>
        <w:jc w:val="both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华池县悦乐工业集中区管委会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22DB4760">
      <w:pPr>
        <w:adjustRightInd w:val="0"/>
        <w:snapToGrid w:val="0"/>
        <w:spacing w:line="640" w:lineRule="exact"/>
        <w:ind w:right="960" w:firstLine="960" w:firstLineChars="300"/>
        <w:contextualSpacing/>
        <w:jc w:val="both"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华池县悦乐工业集中区管委会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046F22"/>
    <w:multiLevelType w:val="singleLevel"/>
    <w:tmpl w:val="4F046F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3741D2"/>
    <w:rsid w:val="18330BA7"/>
    <w:rsid w:val="1A443BBF"/>
    <w:rsid w:val="1D34261E"/>
    <w:rsid w:val="22AE3020"/>
    <w:rsid w:val="2A140231"/>
    <w:rsid w:val="372A2DBB"/>
    <w:rsid w:val="42A05423"/>
    <w:rsid w:val="4C433C79"/>
    <w:rsid w:val="527E074E"/>
    <w:rsid w:val="56393C72"/>
    <w:rsid w:val="579503FF"/>
    <w:rsid w:val="60535296"/>
    <w:rsid w:val="72FD2525"/>
    <w:rsid w:val="78106856"/>
    <w:rsid w:val="7E21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15</Pages>
  <Words>5757</Words>
  <Characters>6058</Characters>
  <Lines>68</Lines>
  <Paragraphs>19</Paragraphs>
  <TotalTime>78</TotalTime>
  <ScaleCrop>false</ScaleCrop>
  <LinksUpToDate>false</LinksUpToDate>
  <CharactersWithSpaces>6199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一壶老酒</cp:lastModifiedBy>
  <cp:lastPrinted>2025-02-11T02:29:26Z</cp:lastPrinted>
  <dcterms:modified xsi:type="dcterms:W3CDTF">2025-02-11T02:32:30Z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eyJoZGlkIjoiYTg1YzViYmJkOGVmYmViMzRkZmRiOWNjNTkyMmY1YmUiLCJ1c2VySWQiOiI1NTE5NzI0NzQifQ==</vt:lpwstr>
  </property>
</Properties>
</file>