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2101B6A">
      <w:pPr>
        <w:spacing w:line="660" w:lineRule="exact"/>
        <w:jc w:val="center"/>
        <w:rPr>
          <w:rFonts w:hint="default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华池县教育局本级</w:t>
      </w:r>
    </w:p>
    <w:p w14:paraId="7203FB67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年部门/单位预算公开情况说明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75FDDF41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77753565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单位</w:t>
      </w:r>
      <w:r>
        <w:rPr>
          <w:rFonts w:hint="eastAsia" w:ascii="黑体" w:hAnsi="黑体" w:eastAsia="黑体" w:cs="宋体"/>
          <w:kern w:val="0"/>
          <w:sz w:val="32"/>
          <w:szCs w:val="32"/>
        </w:rPr>
        <w:t>职责</w:t>
      </w:r>
    </w:p>
    <w:p w14:paraId="29BDBC8D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 贯彻执行党和国家的教育方针、政策和有关教育法律法规，研究全县教育改革与发展的重大问题，指导全县教育工作。负责教育方针政策的宣传、舆论监督和行政执法监督工作；指导教育系统纪律检查和行政监察工作；协助县人民政府处理学校突发事件，维护学校稳定。</w:t>
      </w:r>
    </w:p>
    <w:p w14:paraId="79CDBFFB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 负责学校党的思想建设、领导班子建设和思想政治工作；指导、组织县直学校党群工作和社团工作。规划并指导全县各级各类学校的青少年法制、德育、体育、卫生、艺术、国防教育和民族教育工作；指导全县中小学少先队、共青团工作。</w:t>
      </w:r>
    </w:p>
    <w:p w14:paraId="29766D27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 研究制定并组织实施全县教育事业发展规划和年度教育工作计划，拟定全县教育改革、实施素质教育的政策和意见，指导、协调并检查实施工作。</w:t>
      </w:r>
    </w:p>
    <w:p w14:paraId="69DC514E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、 统筹管理全县基础教育（含幼儿教育）、职业技术教育、成人教育、民办教育、电大、成人高等教育自学考试等工作，管理教师继续教育工作；指导各级各类学校教育教学改革。 </w:t>
      </w:r>
    </w:p>
    <w:p w14:paraId="7F3FD9BD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 统筹、组织、管理教育招生考试工作，编制各类学校的招生计划；负责学生的学籍、学历管理及毕业生就业指导工作。</w:t>
      </w:r>
    </w:p>
    <w:p w14:paraId="7C6F1875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 指导学校电化教育、图书、教学仪器和实验设备的配备工作；组织教育科学研究和教学研究，进行教学质量评估。</w:t>
      </w:r>
    </w:p>
    <w:p w14:paraId="21BFD0E1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 主管全县教师工作，拟定教师管理的有关政策、规章制度，统筹规划并指导学校教师和管理人员的队伍建设工作。管理实施和指导中小学校长、在职教师和教育行政干部的学习、培训工作；组织实施教师资格制度；负责和管理教职工年度岗位考核和任期考核工作；组织、指导教职工专业技术职务的推荐评审和聘任工作。</w:t>
      </w:r>
    </w:p>
    <w:p w14:paraId="6CDD9158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 统筹管理全县教育经费；参与拟定筹措教育经费、教育拨款、教育基建投资的方针、政策；监督全县教育经费的筹措和使用情况；会同有关部门制定中小学（园）收费标准；管理学校的基建、财务、固定资产。负责全县教育基本信息的统计、分析和发布。</w:t>
      </w:r>
    </w:p>
    <w:p w14:paraId="1B591670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 组织实施对巩固提高义务教育、扫除青壮年文盲、发展高中和幼儿教育工作的督导与评估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4D5D64A1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 承办县人民政府交办的其他事项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76CB05E9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2DFB42AC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50C3BF1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华池县教育局内设8个行政股室（教育股、人事股、财务股、审计股、安检股、监察室、项目办、办公室），5个事业室（工农办、督导室、教研室、招生办、资助中心）。</w:t>
      </w:r>
    </w:p>
    <w:p w14:paraId="316EA88B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4E664AEF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无</w:t>
      </w:r>
    </w:p>
    <w:p w14:paraId="1A18BC42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7E68A6C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无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713.39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713.39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；支出包括：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教育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528.54万元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、社会保障和就业支出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99.62万元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38.99万元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46.24万元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713.39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713.39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713.39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2"/>
          <w:rFonts w:hint="eastAsia" w:ascii="仿宋_GB2312" w:hAnsi="仿宋" w:eastAsia="仿宋_GB2312"/>
          <w:lang w:val="en-US" w:eastAsia="zh-CN"/>
        </w:rPr>
        <w:t>713.39</w:t>
      </w:r>
      <w:r>
        <w:rPr>
          <w:rStyle w:val="21"/>
          <w:rFonts w:hint="default" w:hAnsi="仿宋"/>
        </w:rPr>
        <w:t>万元， 占</w:t>
      </w:r>
      <w:r>
        <w:rPr>
          <w:rStyle w:val="21"/>
          <w:rFonts w:hint="eastAsia" w:hAnsi="仿宋" w:eastAsia="仿宋_GB2312"/>
          <w:lang w:val="en-US" w:eastAsia="zh-CN"/>
        </w:rPr>
        <w:t>100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default" w:hAnsi="仿宋"/>
        </w:rPr>
        <w:t>年一般公共预算当年支出</w:t>
      </w:r>
      <w:r>
        <w:rPr>
          <w:rStyle w:val="22"/>
          <w:rFonts w:hint="eastAsia" w:ascii="仿宋_GB2312" w:hAnsi="仿宋" w:eastAsia="仿宋_GB2312"/>
          <w:lang w:val="en-US" w:eastAsia="zh-CN"/>
        </w:rPr>
        <w:t>713.39</w:t>
      </w:r>
      <w:r>
        <w:rPr>
          <w:rStyle w:val="21"/>
          <w:rFonts w:hint="default" w:hAnsi="仿宋"/>
        </w:rPr>
        <w:t>万元，包括：</w:t>
      </w:r>
      <w:r>
        <w:rPr>
          <w:rStyle w:val="21"/>
          <w:rFonts w:hint="eastAsia" w:hAnsi="仿宋" w:eastAsia="仿宋_GB2312"/>
          <w:lang w:val="en-US" w:eastAsia="zh-CN"/>
        </w:rPr>
        <w:t>普通</w:t>
      </w: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教育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528.54万元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、社会保障和就业支出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99.62万元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38.99万元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46.24万元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713.39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50.82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7.67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人员职称变动。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646.53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193.08万元</w:t>
      </w:r>
      <w:r>
        <w:rPr>
          <w:rFonts w:hint="eastAsia" w:ascii="仿宋_GB2312" w:hAnsi="仿宋" w:eastAsia="仿宋_GB2312"/>
          <w:sz w:val="32"/>
          <w:szCs w:val="32"/>
        </w:rPr>
        <w:t>、津贴补贴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206.95万元</w:t>
      </w:r>
      <w:r>
        <w:rPr>
          <w:rFonts w:hint="eastAsia" w:ascii="仿宋_GB2312" w:hAnsi="仿宋" w:eastAsia="仿宋_GB2312"/>
          <w:sz w:val="32"/>
          <w:szCs w:val="32"/>
        </w:rPr>
        <w:t>、奖金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38.29万元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机关事业单位基本养老保险缴费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61.66万元</w:t>
      </w:r>
      <w:r>
        <w:rPr>
          <w:rFonts w:hint="eastAsia" w:ascii="仿宋_GB2312" w:hAnsi="仿宋" w:eastAsia="仿宋_GB2312"/>
          <w:sz w:val="32"/>
          <w:szCs w:val="32"/>
        </w:rPr>
        <w:t>、职业年金缴费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30.83万元</w:t>
      </w:r>
      <w:r>
        <w:rPr>
          <w:rFonts w:hint="eastAsia" w:ascii="仿宋_GB2312" w:hAnsi="仿宋" w:eastAsia="仿宋_GB2312"/>
          <w:sz w:val="32"/>
          <w:szCs w:val="32"/>
        </w:rPr>
        <w:t>、职工基本医疗保险缴费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24万元</w:t>
      </w:r>
      <w:r>
        <w:rPr>
          <w:rFonts w:hint="eastAsia" w:ascii="仿宋_GB2312" w:hAnsi="仿宋" w:eastAsia="仿宋_GB2312"/>
          <w:sz w:val="32"/>
          <w:szCs w:val="32"/>
        </w:rPr>
        <w:t>、公务员医疗补助缴费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14.99万元</w:t>
      </w:r>
      <w:r>
        <w:rPr>
          <w:rFonts w:hint="eastAsia" w:ascii="仿宋_GB2312" w:hAnsi="仿宋" w:eastAsia="仿宋_GB2312"/>
          <w:sz w:val="32"/>
          <w:szCs w:val="32"/>
        </w:rPr>
        <w:t>、其他社会保障缴费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7.13万元</w:t>
      </w:r>
      <w:r>
        <w:rPr>
          <w:rFonts w:hint="eastAsia" w:ascii="仿宋_GB2312" w:hAnsi="仿宋" w:eastAsia="仿宋_GB2312"/>
          <w:sz w:val="32"/>
          <w:szCs w:val="32"/>
        </w:rPr>
        <w:t>、住房公积金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46.24万元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66.86</w:t>
      </w:r>
      <w:r>
        <w:rPr>
          <w:rFonts w:hint="eastAsia" w:ascii="仿宋_GB2312" w:hAnsi="仿宋" w:eastAsia="仿宋_GB2312"/>
          <w:sz w:val="32"/>
          <w:szCs w:val="32"/>
        </w:rPr>
        <w:t>万元，主要包括：工会经费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4.43万元</w:t>
      </w:r>
      <w:r>
        <w:rPr>
          <w:rFonts w:hint="eastAsia" w:ascii="仿宋_GB2312" w:hAnsi="仿宋" w:eastAsia="仿宋_GB2312"/>
          <w:sz w:val="32"/>
          <w:szCs w:val="32"/>
        </w:rPr>
        <w:t>、福利费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9.23万元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其他交通费用支出7.14万元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公务接待、办公费、印刷费、水电、通讯费支出22.2万元、单位取暖费支出4.92万元、</w:t>
      </w:r>
      <w:r>
        <w:rPr>
          <w:rFonts w:hint="eastAsia" w:ascii="仿宋_GB2312" w:hAnsi="仿宋" w:eastAsia="仿宋_GB2312"/>
          <w:sz w:val="32"/>
          <w:szCs w:val="32"/>
        </w:rPr>
        <w:t>其他商品和服务支出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18.94万元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2AE8956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教育支出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528.54</w:t>
      </w:r>
      <w:r>
        <w:rPr>
          <w:rFonts w:hint="eastAsia" w:ascii="仿宋_GB2312" w:eastAsia="仿宋_GB2312"/>
          <w:color w:val="000000"/>
          <w:sz w:val="32"/>
          <w:szCs w:val="32"/>
        </w:rPr>
        <w:t>万元， 比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增加47.44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调标增资。</w:t>
      </w:r>
    </w:p>
    <w:p w14:paraId="2C845A5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社会保障和就业支出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99.62</w:t>
      </w:r>
      <w:r>
        <w:rPr>
          <w:rFonts w:hint="eastAsia" w:ascii="仿宋_GB2312" w:eastAsia="仿宋_GB2312"/>
          <w:color w:val="000000"/>
          <w:sz w:val="32"/>
          <w:szCs w:val="32"/>
        </w:rPr>
        <w:t>万元，比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减少1.48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教职工人数减少。</w:t>
      </w:r>
    </w:p>
    <w:p w14:paraId="6E18D65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卫生健康支出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38.99</w:t>
      </w:r>
      <w:r>
        <w:rPr>
          <w:rFonts w:hint="eastAsia" w:ascii="仿宋_GB2312" w:eastAsia="仿宋_GB2312"/>
          <w:color w:val="000000"/>
          <w:sz w:val="32"/>
          <w:szCs w:val="32"/>
        </w:rPr>
        <w:t>万元， 比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增加0.77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调标增资。</w:t>
      </w:r>
    </w:p>
    <w:p w14:paraId="544E2D5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4.住房保障支出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46.24</w:t>
      </w:r>
      <w:r>
        <w:rPr>
          <w:rFonts w:hint="eastAsia" w:ascii="仿宋_GB2312" w:eastAsia="仿宋_GB2312"/>
          <w:color w:val="000000"/>
          <w:sz w:val="32"/>
          <w:szCs w:val="32"/>
        </w:rPr>
        <w:t>万元， 比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增加4.09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调标增资。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B52960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1.12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0.04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0F5E9B4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1.12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0.04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3.44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根据政策性逐年递减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306B284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本单位无培训费预算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47F14B6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本单位无会议费预算。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452426F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为事业单位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机关运行经费。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06E6F35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2024年，部门（单位）政府采购预算总额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000EFF1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2024年，部门（单位）面向中小企业预留政府采购项目预算金额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575E6D0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269.36</w:t>
      </w:r>
      <w:r>
        <w:rPr>
          <w:rFonts w:hint="eastAsia" w:ascii="仿宋_GB2312" w:hAnsi="仿宋" w:eastAsia="仿宋_GB2312"/>
          <w:sz w:val="32"/>
          <w:szCs w:val="32"/>
        </w:rPr>
        <w:t>万元。其中：办公用房1495平方米，价值129.3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万元。预算部门（单位）共有公务用车0辆，价值0万元。单价20万元以上的设备价值0万元。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6EBDF31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16CC0AA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整体支出，按规定随年度预算一并公开，公开率为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D24D9C4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部门整体</w:t>
      </w:r>
      <w:r>
        <w:rPr>
          <w:rFonts w:hint="eastAsia" w:ascii="仿宋_GB2312" w:hAnsi="仿宋" w:eastAsia="仿宋_GB2312"/>
          <w:sz w:val="32"/>
          <w:szCs w:val="32"/>
        </w:rPr>
        <w:t>绩效运行监控，截至1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月底，如期完成预算执行和绩效目标指标值的，完成率为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7E51A32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年度，部门（单位）整体支出组织开展绩效自评，绩效自评覆盖率为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：已完成单位整体支出绩效自评并报送财政，拟随决算一并公开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317BAFE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万元，2024年度增加（减少）部门预算项目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个，增长率/压减率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个。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7216790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个；各项绩效目标内容指向明确、细化量化、合理可行，符合规定的格式要求。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60CD359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（请部门/单位对编制中涉及的专业名词进行补充解释）</w:t>
      </w:r>
    </w:p>
    <w:p w14:paraId="453FCEBD">
      <w:pPr>
        <w:adjustRightInd w:val="0"/>
        <w:snapToGrid w:val="0"/>
        <w:spacing w:line="640" w:lineRule="exact"/>
        <w:contextualSpacing/>
        <w:jc w:val="both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center"/>
        <w:rPr>
          <w:rFonts w:hint="default" w:ascii="仿宋_GB2312" w:hAnsi="CIDFont+F6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     华池县教育局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1.××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2.××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4FE51B5"/>
    <w:rsid w:val="0C990E0C"/>
    <w:rsid w:val="113741D2"/>
    <w:rsid w:val="18330BA7"/>
    <w:rsid w:val="1D34261E"/>
    <w:rsid w:val="2A3D7746"/>
    <w:rsid w:val="2BE50FF9"/>
    <w:rsid w:val="30CE5758"/>
    <w:rsid w:val="3D8F622D"/>
    <w:rsid w:val="42A05423"/>
    <w:rsid w:val="45C35CE9"/>
    <w:rsid w:val="4C433C79"/>
    <w:rsid w:val="527E074E"/>
    <w:rsid w:val="56393C72"/>
    <w:rsid w:val="579503FF"/>
    <w:rsid w:val="5F8A04F2"/>
    <w:rsid w:val="60535296"/>
    <w:rsid w:val="60A46F85"/>
    <w:rsid w:val="60D03445"/>
    <w:rsid w:val="688B60CC"/>
    <w:rsid w:val="6ABB104E"/>
    <w:rsid w:val="72FD2525"/>
    <w:rsid w:val="77835DFD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4028</Words>
  <Characters>4380</Characters>
  <Lines>68</Lines>
  <Paragraphs>19</Paragraphs>
  <TotalTime>10</TotalTime>
  <ScaleCrop>false</ScaleCrop>
  <LinksUpToDate>false</LinksUpToDate>
  <CharactersWithSpaces>4451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賣聿人</cp:lastModifiedBy>
  <cp:lastPrinted>2022-02-15T07:45:00Z</cp:lastPrinted>
  <dcterms:modified xsi:type="dcterms:W3CDTF">2025-02-11T07:47:53Z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03F10DE1864F4C43B38C31028D9016A7_13</vt:lpwstr>
  </property>
  <property fmtid="{D5CDD505-2E9C-101B-9397-08002B2CF9AE}" pid="4" name="KSOTemplateDocerSaveRecord">
    <vt:lpwstr>eyJoZGlkIjoiNWYzNzQxZWE2NjNmMmU4MGU2NmI2NDc5MzQ5MTE0Y2EiLCJ1c2VySWQiOiIyODY0MjQ1NDYifQ==</vt:lpwstr>
  </property>
</Properties>
</file>