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3D4D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264B36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47DCE8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6E30CA7">
      <w:pPr>
        <w:spacing w:line="660" w:lineRule="exact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华池县融媒体中心</w:t>
      </w:r>
    </w:p>
    <w:p w14:paraId="0ABB17D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年预算公开情况说明 </w:t>
      </w:r>
    </w:p>
    <w:p w14:paraId="5ADB019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679E780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9D4A6CA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1F40D35C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35323E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208DB3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59D34D5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534B5DA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425673A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7AC53C0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77440CC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1303496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2CA47D2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217A727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384DA8D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0DEFD26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195EFA67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1F32D25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3D9E24E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6306E46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73DADE4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6BC65CD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238CC26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18DCD65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0280029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7547068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659E583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323375D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806FF9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70C4178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383D1938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6D8D935C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EB7DFAF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5F01795A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24F4E65F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单位职责</w:t>
      </w:r>
    </w:p>
    <w:p w14:paraId="27A9B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（一）贯彻落实党的新闻宣传方针政策，宣传党的理论、路线和各项方针政策，把握新闻宣传基调，坚持正面宣传、团结鼓劲的方针，努力提高宣传质量和水平，为全县经济社会发展提供舆论支持。</w:t>
      </w:r>
    </w:p>
    <w:p w14:paraId="14227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（二）围绕县委、县政府中心工作，积极开展新闻网络内外宣传，落实全县新闻报道计划，完成上级下达的各项内外宣传和创优任务；做好重大活动和重大事件的宣传报道，把握好舆论导向和宣传口径。</w:t>
      </w:r>
    </w:p>
    <w:p w14:paraId="1767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（三）贯彻行业有关管理规定，加强融媒体中心所有节目的优质安全传输、播出、设备设施安全维护及安全防范等工作；负责做好中央广播电视节目无线覆盖工程的实施及运维工作。</w:t>
      </w:r>
    </w:p>
    <w:p w14:paraId="7F9C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（四）负责全县新闻业务管理和对外通联工作，抓好全县新闻网络、新媒体宣传阵地和人才队伍建设。</w:t>
      </w:r>
    </w:p>
    <w:p w14:paraId="7FE93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（五）负责提出并实施本中心产业规划，依照政府授权，管理经营本中心所属国有资产，确保其保值、增值。</w:t>
      </w:r>
    </w:p>
    <w:p w14:paraId="5D9B1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（六）管理本中心所属网站、客户端、微信公众号、户外广告屏等，承办各类大型宣传活动。</w:t>
      </w:r>
    </w:p>
    <w:p w14:paraId="0795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（七）协助配合上级媒体和新闻单位来县采访及其他工作。加强舆情收集报送、分析研判、风险防控和管控处置工作，维护县内舆论安全。</w:t>
      </w:r>
    </w:p>
    <w:p w14:paraId="0F876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（八）负责办好健康向上的广播电视新媒体节目，不断丰富人民群众的精神文化生活。</w:t>
      </w:r>
    </w:p>
    <w:p w14:paraId="22A05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（九）完成县委、县政府交办的其他工作。</w:t>
      </w:r>
    </w:p>
    <w:p w14:paraId="2FE5D809"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4798835E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D1EED6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95AFCD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华池县融媒体中心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内设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个职能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股室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,包括:办公室、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总编室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全媒体采编室、新媒体室、专题室、技术运维室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0BA9D5E"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直属事业单位</w:t>
      </w:r>
    </w:p>
    <w:p w14:paraId="0E7B7C6C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right="0" w:rightChars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年度，我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共有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编制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37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名，其中：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事业编制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37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名，后勤编制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财政供养总人数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69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人，其中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在职人员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56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人，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聘用人员6人，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遗属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人。</w:t>
      </w:r>
    </w:p>
    <w:p w14:paraId="0D031DD8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</w:p>
    <w:p w14:paraId="07CED323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A9D624E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48807C2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978.7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38D64326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60DE1039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978.7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C139613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978.7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3974D2B6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政府性基金预算收入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3B16DD79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40101D3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6393E8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144866A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4DFDB69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978.7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851.74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87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126.96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13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2A6D576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62DBA8D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978.7</w:t>
      </w:r>
      <w:r>
        <w:rPr>
          <w:rStyle w:val="21"/>
          <w:rFonts w:hint="default" w:hAnsi="仿宋"/>
        </w:rPr>
        <w:t>万元，包括：文化体育与传媒支出</w:t>
      </w:r>
      <w:r>
        <w:rPr>
          <w:rStyle w:val="21"/>
          <w:rFonts w:hint="eastAsia" w:hAnsi="仿宋" w:eastAsia="仿宋_GB2312"/>
          <w:lang w:val="en-US" w:eastAsia="zh-CN"/>
        </w:rPr>
        <w:t>751.08万元、</w:t>
      </w:r>
      <w:r>
        <w:rPr>
          <w:rStyle w:val="21"/>
          <w:rFonts w:hint="default" w:hAnsi="仿宋"/>
        </w:rPr>
        <w:t>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133.27</w:t>
      </w:r>
      <w:r>
        <w:rPr>
          <w:rStyle w:val="21"/>
          <w:rFonts w:hint="default" w:hAnsi="仿宋"/>
        </w:rPr>
        <w:t>万元、卫生健康支出</w:t>
      </w:r>
      <w:r>
        <w:rPr>
          <w:rStyle w:val="21"/>
          <w:rFonts w:hint="eastAsia" w:hAnsi="仿宋" w:eastAsia="仿宋_GB2312"/>
          <w:lang w:val="en-US" w:eastAsia="zh-CN"/>
        </w:rPr>
        <w:t>40.61</w:t>
      </w:r>
      <w:r>
        <w:rPr>
          <w:rStyle w:val="21"/>
          <w:rFonts w:hint="default" w:hAnsi="仿宋"/>
        </w:rPr>
        <w:t>万元</w:t>
      </w:r>
      <w:r>
        <w:rPr>
          <w:rStyle w:val="21"/>
          <w:rFonts w:hint="eastAsia" w:hAnsi="仿宋" w:eastAsia="仿宋_GB2312"/>
          <w:lang w:eastAsia="zh-CN"/>
        </w:rPr>
        <w:t>、</w:t>
      </w:r>
      <w:r>
        <w:rPr>
          <w:rStyle w:val="21"/>
          <w:rFonts w:hint="default" w:hAnsi="仿宋"/>
        </w:rPr>
        <w:t>住房保障支出</w:t>
      </w:r>
      <w:r>
        <w:rPr>
          <w:rStyle w:val="21"/>
          <w:rFonts w:hint="eastAsia" w:hAnsi="仿宋" w:eastAsia="仿宋_GB2312"/>
          <w:lang w:val="en-US" w:eastAsia="zh-CN"/>
        </w:rPr>
        <w:t>56.08万元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63D30BA5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3B30A3DC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851.74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增加16.59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%，增长的主要原因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人数增加。</w:t>
      </w:r>
    </w:p>
    <w:p w14:paraId="7D4D961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785.91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3A83AD3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65.83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6B8DAD2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CC622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126.96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126.96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50776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5个项目，</w:t>
      </w:r>
      <w:r>
        <w:rPr>
          <w:rFonts w:hint="eastAsia" w:ascii="仿宋_GB2312" w:hAnsi="仿宋" w:eastAsia="仿宋_GB2312"/>
          <w:sz w:val="32"/>
          <w:szCs w:val="32"/>
        </w:rPr>
        <w:t>项目1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.网络公司自办节目传输费48万元。</w:t>
      </w:r>
      <w:r>
        <w:rPr>
          <w:rFonts w:hint="eastAsia" w:ascii="仿宋_GB2312" w:hAnsi="仿宋" w:eastAsia="仿宋_GB2312"/>
          <w:sz w:val="32"/>
          <w:szCs w:val="32"/>
        </w:rPr>
        <w:t>项目2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.魅力华池客户端运行维护费27万元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项目3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.华池县融媒体中心绩效20万元、</w:t>
      </w:r>
      <w:r>
        <w:rPr>
          <w:rFonts w:hint="eastAsia" w:ascii="仿宋_GB2312" w:hAnsi="仿宋" w:eastAsia="仿宋_GB2312"/>
          <w:sz w:val="32"/>
          <w:szCs w:val="32"/>
        </w:rPr>
        <w:t>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4.网络公司户户通设备运行维护费15万元、</w:t>
      </w:r>
      <w:r>
        <w:rPr>
          <w:rFonts w:hint="eastAsia" w:ascii="仿宋_GB2312" w:hAnsi="仿宋" w:eastAsia="仿宋_GB2312"/>
          <w:sz w:val="32"/>
          <w:szCs w:val="32"/>
        </w:rPr>
        <w:t>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5.外宣经费13万元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A529FE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老放映员工资3.96万元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AB0D61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92DB75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Style w:val="21"/>
          <w:rFonts w:hint="default" w:hAnsi="仿宋"/>
        </w:rPr>
        <w:t>文化体育与传媒支出</w:t>
      </w:r>
      <w:r>
        <w:rPr>
          <w:rStyle w:val="21"/>
          <w:rFonts w:hint="eastAsia" w:hAnsi="仿宋" w:eastAsia="仿宋_GB2312"/>
          <w:lang w:eastAsia="zh-CN"/>
        </w:rPr>
        <w:t>，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751.08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55.26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人员增加。</w:t>
      </w:r>
    </w:p>
    <w:p w14:paraId="01A81F3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Style w:val="21"/>
          <w:rFonts w:hint="default" w:hAnsi="仿宋"/>
        </w:rPr>
        <w:t>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133.27</w:t>
      </w:r>
      <w:r>
        <w:rPr>
          <w:rStyle w:val="21"/>
          <w:rFonts w:hint="default" w:hAnsi="仿宋"/>
        </w:rPr>
        <w:t>万元、</w:t>
      </w:r>
      <w:r>
        <w:rPr>
          <w:rFonts w:hint="eastAsia" w:ascii="仿宋_GB2312" w:eastAsia="仿宋_GB2312"/>
          <w:color w:val="000000"/>
          <w:sz w:val="32"/>
          <w:szCs w:val="32"/>
        </w:rPr>
        <w:t>比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人员增加。</w:t>
      </w:r>
    </w:p>
    <w:p w14:paraId="754ED8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Style w:val="21"/>
          <w:rFonts w:hint="eastAsia" w:hAnsi="仿宋" w:eastAsia="仿宋_GB2312"/>
          <w:lang w:val="en-US" w:eastAsia="zh-CN"/>
        </w:rPr>
        <w:t>3.</w:t>
      </w:r>
      <w:r>
        <w:rPr>
          <w:rStyle w:val="21"/>
          <w:rFonts w:hint="default" w:hAnsi="仿宋"/>
        </w:rPr>
        <w:t>卫生健康支出</w:t>
      </w:r>
      <w:r>
        <w:rPr>
          <w:rStyle w:val="21"/>
          <w:rFonts w:hint="eastAsia" w:hAnsi="仿宋" w:eastAsia="仿宋_GB2312"/>
          <w:lang w:val="en-US" w:eastAsia="zh-CN"/>
        </w:rPr>
        <w:t>40.61</w:t>
      </w:r>
      <w:r>
        <w:rPr>
          <w:rStyle w:val="21"/>
          <w:rFonts w:hint="default" w:hAnsi="仿宋"/>
        </w:rPr>
        <w:t>万元</w:t>
      </w:r>
      <w:r>
        <w:rPr>
          <w:rStyle w:val="21"/>
          <w:rFonts w:hint="eastAsia" w:hAnsi="仿宋" w:eastAsia="仿宋_GB231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0.55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人员增加。</w:t>
      </w:r>
    </w:p>
    <w:p w14:paraId="7D3811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Style w:val="21"/>
          <w:rFonts w:hint="eastAsia" w:hAnsi="仿宋" w:eastAsia="仿宋_GB2312"/>
          <w:lang w:val="en-US" w:eastAsia="zh-CN"/>
        </w:rPr>
        <w:t>4.</w:t>
      </w:r>
      <w:r>
        <w:rPr>
          <w:rStyle w:val="21"/>
          <w:rFonts w:hint="default" w:hAnsi="仿宋"/>
        </w:rPr>
        <w:t>住房保障支出</w:t>
      </w:r>
      <w:r>
        <w:rPr>
          <w:rStyle w:val="21"/>
          <w:rFonts w:hint="eastAsia" w:hAnsi="仿宋" w:eastAsia="仿宋_GB2312"/>
          <w:lang w:val="en-US" w:eastAsia="zh-CN"/>
        </w:rPr>
        <w:t>56.08万元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2.12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人员增加。</w:t>
      </w:r>
    </w:p>
    <w:p w14:paraId="4AA15734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4569CC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5E1309F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E5CB99D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 xml:space="preserve">公务接待费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缩减开支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D75347A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6B6076F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472B644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511895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1A2FBD3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1375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1603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万元。单位共有公务用车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383DAF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2E0D95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4EE303E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4D6BCD4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3619952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未安排预算，非税收入支出情况表为空表。</w:t>
      </w:r>
    </w:p>
    <w:p w14:paraId="2D5764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70974FE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单位年初预算未安排项目支出，无重点项目说明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A55ECE5">
      <w:pPr>
        <w:numPr>
          <w:ilvl w:val="0"/>
          <w:numId w:val="2"/>
        </w:numPr>
        <w:adjustRightInd w:val="0"/>
        <w:snapToGrid w:val="0"/>
        <w:spacing w:line="640" w:lineRule="exact"/>
        <w:ind w:left="0" w:leftChars="0"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部门管理转移支付情况</w:t>
      </w:r>
    </w:p>
    <w:p w14:paraId="51B8BE2C">
      <w:pPr>
        <w:widowControl w:val="0"/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both"/>
        <w:rPr>
          <w:rFonts w:hint="eastAsia" w:ascii="楷体_GB2312" w:hAnsi="楷体" w:eastAsia="仿宋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CCA4548">
      <w:pPr>
        <w:numPr>
          <w:ilvl w:val="0"/>
          <w:numId w:val="3"/>
        </w:num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国有资本经营预算支出情况</w:t>
      </w:r>
    </w:p>
    <w:p w14:paraId="6B89B2E8">
      <w:pPr>
        <w:widowControl w:val="0"/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both"/>
        <w:rPr>
          <w:rFonts w:hint="eastAsia" w:ascii="楷体_GB2312" w:hAnsi="楷体" w:eastAsia="仿宋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未安排预算，单位国有资本经营预算为空表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D9EB75B">
      <w:pPr>
        <w:adjustRightInd w:val="0"/>
        <w:snapToGrid w:val="0"/>
        <w:spacing w:line="640" w:lineRule="exact"/>
        <w:ind w:firstLine="960" w:firstLineChars="3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7D37DC5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075030B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00DA2C7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个，按规定随年度预算一并公开项目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7BA9DD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41F19BA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为优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AA637C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3809E5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39F1A0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 xml:space="preserve">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 xml:space="preserve">个；项目支出绩效目标围绕成本指标、产出指标、效益指标、满意度指标四个维度，设置二级指标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3635C1E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3FEBD99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194AA4B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5DB6C9F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01DBEA2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4640A3B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48D6D4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5873A64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E55656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04F1233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E8C86BF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5EC2185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62BD6D3">
      <w:pPr>
        <w:adjustRightInd w:val="0"/>
        <w:snapToGrid w:val="0"/>
        <w:spacing w:line="640" w:lineRule="exact"/>
        <w:ind w:right="960"/>
        <w:contextualSpacing/>
        <w:jc w:val="right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华池县融媒体中心</w:t>
      </w:r>
    </w:p>
    <w:p w14:paraId="5C2D60CC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3648059D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79C2EEF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华池县融媒体中心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77B25A7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华池县融媒体中心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年整体支出绩效目标及预算项目绩效目标表</w:t>
      </w:r>
    </w:p>
    <w:p w14:paraId="7796CAA1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A445D">
    <w:pPr>
      <w:pStyle w:val="5"/>
      <w:jc w:val="center"/>
    </w:pPr>
  </w:p>
  <w:p w14:paraId="3E77582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DD315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217A437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F4B3D"/>
    <w:multiLevelType w:val="singleLevel"/>
    <w:tmpl w:val="80DF4B3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C82446"/>
    <w:multiLevelType w:val="singleLevel"/>
    <w:tmpl w:val="1FC8244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380643"/>
    <w:multiLevelType w:val="singleLevel"/>
    <w:tmpl w:val="5A3806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ZmQ2OTM1ODI5MDllOTFlY2RjZGNjMDM0M2YxZTY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66E4E4C"/>
    <w:rsid w:val="0B7947EB"/>
    <w:rsid w:val="0DC24706"/>
    <w:rsid w:val="113741D2"/>
    <w:rsid w:val="1D34261E"/>
    <w:rsid w:val="287B274D"/>
    <w:rsid w:val="2C89494F"/>
    <w:rsid w:val="30BA5D21"/>
    <w:rsid w:val="42A05423"/>
    <w:rsid w:val="478A7DCA"/>
    <w:rsid w:val="49246A37"/>
    <w:rsid w:val="4C433C79"/>
    <w:rsid w:val="4D0830DB"/>
    <w:rsid w:val="527E074E"/>
    <w:rsid w:val="56393C72"/>
    <w:rsid w:val="579503FF"/>
    <w:rsid w:val="59F10D2A"/>
    <w:rsid w:val="60535296"/>
    <w:rsid w:val="70C74AEA"/>
    <w:rsid w:val="72FD2525"/>
    <w:rsid w:val="78106856"/>
    <w:rsid w:val="796F2B6F"/>
    <w:rsid w:val="7F91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autoRedefine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4177</Words>
  <Characters>4483</Characters>
  <Lines>68</Lines>
  <Paragraphs>19</Paragraphs>
  <TotalTime>29</TotalTime>
  <ScaleCrop>false</ScaleCrop>
  <LinksUpToDate>false</LinksUpToDate>
  <CharactersWithSpaces>4518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2025-02-10T09:17:37Z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FF1640F4AE8842FABC02319CDC406E04_13</vt:lpwstr>
  </property>
  <property fmtid="{D5CDD505-2E9C-101B-9397-08002B2CF9AE}" pid="4" name="KSOTemplateDocerSaveRecord">
    <vt:lpwstr>eyJoZGlkIjoiMGY5ZmQ2OTM1ODI5MDllOTFlY2RjZGNjMDM0M2YxZTYifQ==</vt:lpwstr>
  </property>
</Properties>
</file>