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C6A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38F1E7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422C4A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1E3A9D1">
      <w:pPr>
        <w:spacing w:line="660" w:lineRule="exact"/>
        <w:jc w:val="center"/>
        <w:rPr>
          <w:rFonts w:hint="default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华池县石化办</w:t>
      </w:r>
    </w:p>
    <w:p w14:paraId="61BA5B5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35D79DE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1EF6169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BD2A33D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23EA6FA3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3B9C0D5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2CF4E6A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00A0408F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1E1447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663B455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2A3B657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433F7D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54B28C3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13B435F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2CAB05E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078D76C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20123E8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01665CF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1159011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3107AF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4712AE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25B0021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3C2FB48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0F75102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3E6C1D9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30A51F2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3CF6253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015995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45887C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1BD2343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2F27B7C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CB69DC7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16FDEC50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210100FC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7107CEFE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50C5C58B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05BA06F8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主要职责是负责编制企地协作年度和长远经济技术协作计划、规划；负责协调组织企地协作经济联合项目的实施，处理经济技术协作的协商、谈判以及工业项目的考察论证等事项；协调处理好企地纠纷，建立良好的企地关系；承办县委、县政府交办的其他事项。</w:t>
      </w:r>
    </w:p>
    <w:p w14:paraId="485DE32C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36EABCF6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6D6E8FB5">
      <w:pPr>
        <w:spacing w:line="600" w:lineRule="exact"/>
        <w:ind w:firstLine="640" w:firstLineChars="200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华池县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石油化工基地建设服务办公室，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编制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名，无内设科室，经费由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县财政局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统一核算。</w:t>
      </w:r>
    </w:p>
    <w:p w14:paraId="38B46EDD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4378474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华池县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石油化工基地建设服务办公室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正科级全额拨款事业单位（参公管理）</w:t>
      </w:r>
    </w:p>
    <w:p w14:paraId="7DE9F22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  <w:bookmarkStart w:id="0" w:name="_GoBack"/>
      <w:bookmarkEnd w:id="0"/>
    </w:p>
    <w:p w14:paraId="731B14E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430E6F3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1E4043D9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2EA4835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209.06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2073C1F7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166FE02E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209.06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4C5A3BF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209.06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1E1D432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万元，其他收入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B596A8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681E367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209.06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3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209.06</w:t>
      </w:r>
      <w:r>
        <w:rPr>
          <w:rStyle w:val="23"/>
          <w:rFonts w:hint="default" w:hAnsi="仿宋"/>
        </w:rPr>
        <w:t>万元，占</w:t>
      </w:r>
      <w:r>
        <w:rPr>
          <w:rStyle w:val="23"/>
          <w:rFonts w:hint="eastAsia" w:hAnsi="仿宋" w:eastAsia="仿宋_GB2312"/>
          <w:lang w:val="en-US" w:eastAsia="zh-CN"/>
        </w:rPr>
        <w:t>100</w:t>
      </w:r>
      <w:r>
        <w:rPr>
          <w:rStyle w:val="24"/>
          <w:rFonts w:hint="eastAsia" w:ascii="仿宋_GB2312" w:hAnsi="仿宋" w:eastAsia="仿宋_GB2312"/>
        </w:rPr>
        <w:t>%</w:t>
      </w:r>
      <w:r>
        <w:rPr>
          <w:rStyle w:val="23"/>
          <w:rFonts w:hint="default" w:hAnsi="仿宋"/>
        </w:rPr>
        <w:t>；项目支出</w:t>
      </w:r>
      <w:r>
        <w:rPr>
          <w:rStyle w:val="23"/>
          <w:rFonts w:hint="eastAsia" w:hAnsi="仿宋" w:eastAsia="仿宋_GB2312"/>
          <w:lang w:val="en-US" w:eastAsia="zh-CN"/>
        </w:rPr>
        <w:t>0</w:t>
      </w:r>
      <w:r>
        <w:rPr>
          <w:rStyle w:val="23"/>
          <w:rFonts w:hint="default" w:hAnsi="仿宋"/>
        </w:rPr>
        <w:t>万元，上年结转</w:t>
      </w:r>
      <w:r>
        <w:rPr>
          <w:rStyle w:val="24"/>
          <w:rFonts w:hint="eastAsia" w:ascii="仿宋_GB2312" w:hAnsi="仿宋" w:eastAsia="仿宋_GB2312"/>
          <w:lang w:val="en-US" w:eastAsia="zh-CN"/>
        </w:rPr>
        <w:t>0</w:t>
      </w:r>
      <w:r>
        <w:rPr>
          <w:rStyle w:val="23"/>
          <w:rFonts w:hint="default" w:hAnsi="仿宋"/>
        </w:rPr>
        <w:t>万元。</w:t>
      </w:r>
    </w:p>
    <w:p w14:paraId="7583832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4EA5CC2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4"/>
          <w:rFonts w:hint="eastAsia" w:ascii="仿宋_GB2312" w:hAnsi="仿宋" w:eastAsia="仿宋_GB2312"/>
          <w:lang w:val="en-US" w:eastAsia="zh-CN"/>
        </w:rPr>
        <w:t>2025</w:t>
      </w:r>
      <w:r>
        <w:rPr>
          <w:rStyle w:val="23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209.06</w:t>
      </w:r>
      <w:r>
        <w:rPr>
          <w:rStyle w:val="23"/>
          <w:rFonts w:hint="default" w:hAnsi="仿宋"/>
        </w:rPr>
        <w:t>万元，包括：一般公共服务支出</w:t>
      </w:r>
      <w:r>
        <w:rPr>
          <w:rStyle w:val="24"/>
          <w:rFonts w:hint="eastAsia" w:ascii="仿宋_GB2312" w:hAnsi="仿宋" w:eastAsia="仿宋_GB2312"/>
          <w:lang w:val="en-US" w:eastAsia="zh-CN"/>
        </w:rPr>
        <w:t>157.62</w:t>
      </w:r>
      <w:r>
        <w:rPr>
          <w:rStyle w:val="23"/>
          <w:rFonts w:hint="default" w:hAnsi="仿宋"/>
        </w:rPr>
        <w:t>万元、社会保障和就业支出</w:t>
      </w:r>
      <w:r>
        <w:rPr>
          <w:rStyle w:val="24"/>
          <w:rFonts w:hint="eastAsia" w:ascii="仿宋_GB2312" w:hAnsi="仿宋" w:eastAsia="仿宋_GB2312"/>
          <w:lang w:val="en-US" w:eastAsia="zh-CN"/>
        </w:rPr>
        <w:t>29.79</w:t>
      </w:r>
      <w:r>
        <w:rPr>
          <w:rStyle w:val="23"/>
          <w:rFonts w:hint="default" w:hAnsi="仿宋"/>
        </w:rPr>
        <w:t>万元、</w:t>
      </w:r>
      <w:r>
        <w:rPr>
          <w:rStyle w:val="23"/>
          <w:rFonts w:hint="eastAsia" w:hAnsi="仿宋" w:eastAsia="仿宋_GB2312"/>
          <w:lang w:val="en-US" w:eastAsia="zh-CN"/>
        </w:rPr>
        <w:t>卫生健康支出8.57</w:t>
      </w:r>
      <w:r>
        <w:rPr>
          <w:rStyle w:val="23"/>
          <w:rFonts w:hint="default" w:hAnsi="仿宋"/>
        </w:rPr>
        <w:t>万元、</w:t>
      </w:r>
      <w:r>
        <w:rPr>
          <w:rStyle w:val="23"/>
          <w:rFonts w:hint="eastAsia" w:hAnsi="仿宋" w:eastAsia="仿宋_GB2312"/>
          <w:lang w:val="en-US" w:eastAsia="zh-CN"/>
        </w:rPr>
        <w:t>住房保障支出13.08</w:t>
      </w:r>
      <w:r>
        <w:rPr>
          <w:rStyle w:val="23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3E4907D2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00D2957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209.06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197.97</w:t>
      </w:r>
      <w:r>
        <w:rPr>
          <w:rFonts w:hint="eastAsia" w:ascii="仿宋_GB2312" w:hAnsi="仿宋" w:eastAsia="仿宋_GB2312"/>
          <w:sz w:val="32"/>
          <w:szCs w:val="32"/>
        </w:rPr>
        <w:t>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11.09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5.6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我单位2025年人员调整及单位年度考核奖纳入预算。</w:t>
      </w:r>
    </w:p>
    <w:p w14:paraId="73CCAF6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179.09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605896E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19.97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5F4CBA4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5A3323C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2E6027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75D7BC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支出，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157.62</w:t>
      </w:r>
      <w:r>
        <w:rPr>
          <w:rFonts w:hint="eastAsia" w:ascii="仿宋_GB2312" w:eastAsia="仿宋_GB2312"/>
          <w:color w:val="000000"/>
          <w:sz w:val="32"/>
          <w:szCs w:val="32"/>
        </w:rPr>
        <w:t>万元，比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5.74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人员调整。</w:t>
      </w:r>
    </w:p>
    <w:p w14:paraId="24790AA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社会保障和就业支出，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29.79</w:t>
      </w:r>
      <w:r>
        <w:rPr>
          <w:rFonts w:hint="eastAsia" w:ascii="仿宋_GB2312" w:eastAsia="仿宋_GB2312"/>
          <w:color w:val="000000"/>
          <w:sz w:val="32"/>
          <w:szCs w:val="32"/>
        </w:rPr>
        <w:t>万元，比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增加4.36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人员调整相应保障缴费基数调整。</w:t>
      </w:r>
    </w:p>
    <w:p w14:paraId="1477CA3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3.卫生健康支出，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8.57</w:t>
      </w:r>
      <w:r>
        <w:rPr>
          <w:rFonts w:hint="eastAsia" w:ascii="仿宋_GB2312" w:eastAsia="仿宋_GB2312"/>
          <w:color w:val="000000"/>
          <w:sz w:val="32"/>
          <w:szCs w:val="32"/>
        </w:rPr>
        <w:t>万元，比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0.17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人员增加。</w:t>
      </w:r>
    </w:p>
    <w:p w14:paraId="6A4AEAD2">
      <w:pPr>
        <w:pStyle w:val="2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4.住房保障支出，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13.08</w:t>
      </w:r>
      <w:r>
        <w:rPr>
          <w:rFonts w:hint="eastAsia" w:ascii="仿宋_GB2312" w:eastAsia="仿宋_GB2312"/>
          <w:color w:val="000000"/>
          <w:sz w:val="32"/>
          <w:szCs w:val="32"/>
        </w:rPr>
        <w:t>万元，比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0.82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2024年人员工资基数调整。</w:t>
      </w:r>
    </w:p>
    <w:p w14:paraId="03426CFA">
      <w:pPr>
        <w:pStyle w:val="2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57E9E73D">
      <w:pPr>
        <w:pStyle w:val="2"/>
        <w:ind w:firstLine="321" w:firstLineChars="1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0591E7E9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0.52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减少5.4%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CAFB45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380BDA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0.52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，主要原因是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我单位压缩公务接待预算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EBB538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2D9CC8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4C6862D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我单位无培训业务支出。</w:t>
      </w:r>
    </w:p>
    <w:p w14:paraId="7B04D8F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4CA1153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我单位无会议业务支出。</w:t>
      </w:r>
    </w:p>
    <w:p w14:paraId="7B312DD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CEF5A4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15.88</w:t>
      </w:r>
      <w:r>
        <w:rPr>
          <w:rFonts w:hint="eastAsia" w:ascii="仿宋_GB2312" w:hAnsi="仿宋" w:eastAsia="仿宋_GB2312"/>
          <w:sz w:val="32"/>
          <w:szCs w:val="32"/>
        </w:rPr>
        <w:t>万元，较2023年预算减少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2.21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13.9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我单位压缩公用经费支出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F9DA64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F9548D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年，单位政府采购预算总额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 w14:paraId="1BAC7B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年，单位面向中小企业预留政府采购项目预算金额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00EC7B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641349A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34.16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660</w:t>
      </w:r>
      <w:r>
        <w:rPr>
          <w:rFonts w:hint="eastAsia" w:ascii="仿宋_GB2312" w:hAnsi="仿宋" w:eastAsia="仿宋_GB2312"/>
          <w:sz w:val="32"/>
          <w:szCs w:val="32"/>
        </w:rPr>
        <w:t>平方米，预算单位共有公务用车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辆。单价20万元以上的设备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CD8813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6860959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0BB1610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060205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46460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" w:eastAsia="仿宋_GB2312"/>
          <w:sz w:val="32"/>
          <w:szCs w:val="32"/>
        </w:rPr>
        <w:t>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 w14:paraId="2CAAAF4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67FB60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" w:eastAsia="仿宋_GB2312"/>
          <w:sz w:val="32"/>
          <w:szCs w:val="32"/>
        </w:rPr>
        <w:t>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重点项目支出。</w:t>
      </w:r>
    </w:p>
    <w:p w14:paraId="617B3F8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2B889F1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 年未安排预算，单位管理转移支付表为空表。</w:t>
      </w:r>
    </w:p>
    <w:p w14:paraId="7FBC5B3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7143C0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2E4BB7D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5DF59A0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7F9AEF6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35AF4632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373C474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D4E467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按要求公开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EA67E4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年度绩效运行监控、绩效自评等情况，2024年度部门预算项目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数无增减变化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4B0DC9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02DF5E3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个；项目支出绩效目标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支出无预算</w:t>
      </w:r>
      <w:r>
        <w:rPr>
          <w:rFonts w:hint="eastAsia" w:ascii="仿宋_GB2312" w:hAnsi="仿宋" w:eastAsia="仿宋_GB2312"/>
          <w:sz w:val="32"/>
          <w:szCs w:val="32"/>
        </w:rPr>
        <w:t>。各项绩效目标内容指向明确、细化量化、合理可行，符合规定的格式要求。</w:t>
      </w:r>
    </w:p>
    <w:p w14:paraId="12CECB7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70A311B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37740AA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E546E2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54E9759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3336F29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55CA78E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03EA70F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0E4E135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3E840061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7FB8AE1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1056C4D2">
      <w:pPr>
        <w:adjustRightInd w:val="0"/>
        <w:snapToGrid w:val="0"/>
        <w:spacing w:line="640" w:lineRule="exact"/>
        <w:ind w:right="1120"/>
        <w:contextualSpacing/>
        <w:jc w:val="center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华池县石化办</w:t>
      </w:r>
    </w:p>
    <w:p w14:paraId="57BAF853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44A2EA5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5564B069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华池县石化办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06A9656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华池县石化办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155A865E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4BD46">
    <w:pPr>
      <w:pStyle w:val="6"/>
      <w:jc w:val="center"/>
    </w:pPr>
  </w:p>
  <w:p w14:paraId="7E74ACB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63BB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27A8C76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WU2NTg4OWE2Njc2ZTUxMjE2ZjM2NjM0NjM4OGYifQ=="/>
    <w:docVar w:name="KSO_WPS_MARK_KEY" w:val="17c83bfa-2a26-4320-8eb0-a987f44ce8f0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1BA1321"/>
    <w:rsid w:val="02E03DF9"/>
    <w:rsid w:val="046F6F1A"/>
    <w:rsid w:val="113741D2"/>
    <w:rsid w:val="135E3F7C"/>
    <w:rsid w:val="1D34261E"/>
    <w:rsid w:val="1E075742"/>
    <w:rsid w:val="2A2656A0"/>
    <w:rsid w:val="2B6A29C1"/>
    <w:rsid w:val="2B6D34EA"/>
    <w:rsid w:val="42390ED5"/>
    <w:rsid w:val="42A05423"/>
    <w:rsid w:val="463E5D66"/>
    <w:rsid w:val="4C433C79"/>
    <w:rsid w:val="506C21EA"/>
    <w:rsid w:val="527E074E"/>
    <w:rsid w:val="56393C72"/>
    <w:rsid w:val="579503FF"/>
    <w:rsid w:val="5BA95B6E"/>
    <w:rsid w:val="60535296"/>
    <w:rsid w:val="625D1B1E"/>
    <w:rsid w:val="644C5745"/>
    <w:rsid w:val="674B094C"/>
    <w:rsid w:val="67B37AAD"/>
    <w:rsid w:val="6A5135AE"/>
    <w:rsid w:val="72FD2525"/>
    <w:rsid w:val="78106856"/>
    <w:rsid w:val="7869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link w:val="21"/>
    <w:autoRedefine/>
    <w:qFormat/>
    <w:uiPriority w:val="0"/>
    <w:pPr>
      <w:jc w:val="left"/>
    </w:p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2"/>
    <w:autoRedefine/>
    <w:qFormat/>
    <w:uiPriority w:val="0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line number"/>
    <w:autoRedefine/>
    <w:qFormat/>
    <w:uiPriority w:val="0"/>
  </w:style>
  <w:style w:type="character" w:styleId="14">
    <w:name w:val="annotation reference"/>
    <w:autoRedefine/>
    <w:qFormat/>
    <w:uiPriority w:val="0"/>
    <w:rPr>
      <w:sz w:val="21"/>
      <w:szCs w:val="21"/>
    </w:rPr>
  </w:style>
  <w:style w:type="character" w:customStyle="1" w:styleId="15">
    <w:name w:val="页脚 Char"/>
    <w:link w:val="6"/>
    <w:autoRedefine/>
    <w:qFormat/>
    <w:uiPriority w:val="0"/>
    <w:rPr>
      <w:sz w:val="18"/>
      <w:szCs w:val="18"/>
    </w:rPr>
  </w:style>
  <w:style w:type="character" w:customStyle="1" w:styleId="16">
    <w:name w:val="页眉 Char"/>
    <w:link w:val="7"/>
    <w:autoRedefine/>
    <w:qFormat/>
    <w:uiPriority w:val="0"/>
    <w:rPr>
      <w:sz w:val="18"/>
      <w:szCs w:val="18"/>
    </w:rPr>
  </w:style>
  <w:style w:type="paragraph" w:styleId="17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8">
    <w:name w:val="批注框文本 Char"/>
    <w:link w:val="5"/>
    <w:autoRedefine/>
    <w:qFormat/>
    <w:uiPriority w:val="0"/>
    <w:rPr>
      <w:kern w:val="2"/>
      <w:sz w:val="18"/>
      <w:szCs w:val="18"/>
    </w:rPr>
  </w:style>
  <w:style w:type="character" w:customStyle="1" w:styleId="19">
    <w:name w:val="标题 1 Char"/>
    <w:link w:val="3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20">
    <w:name w:val="TOC Heading"/>
    <w:basedOn w:val="3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1">
    <w:name w:val="批注文字 Char"/>
    <w:link w:val="4"/>
    <w:autoRedefine/>
    <w:qFormat/>
    <w:uiPriority w:val="0"/>
    <w:rPr>
      <w:kern w:val="2"/>
      <w:sz w:val="21"/>
      <w:szCs w:val="22"/>
    </w:rPr>
  </w:style>
  <w:style w:type="character" w:customStyle="1" w:styleId="22">
    <w:name w:val="批注主题 Char"/>
    <w:link w:val="9"/>
    <w:autoRedefine/>
    <w:qFormat/>
    <w:uiPriority w:val="0"/>
    <w:rPr>
      <w:b/>
      <w:bCs/>
      <w:kern w:val="2"/>
      <w:sz w:val="21"/>
      <w:szCs w:val="22"/>
    </w:rPr>
  </w:style>
  <w:style w:type="character" w:customStyle="1" w:styleId="23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5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6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3771</Words>
  <Characters>4090</Characters>
  <Lines>68</Lines>
  <Paragraphs>19</Paragraphs>
  <TotalTime>320</TotalTime>
  <ScaleCrop>false</ScaleCrop>
  <LinksUpToDate>false</LinksUpToDate>
  <CharactersWithSpaces>4150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风驰</cp:lastModifiedBy>
  <cp:lastPrinted>2025-02-11T02:58:17Z</cp:lastPrinted>
  <dcterms:modified xsi:type="dcterms:W3CDTF">2025-02-11T08:15:47Z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77ABE87D3184446D8BE97DF9A4A30399_13</vt:lpwstr>
  </property>
  <property fmtid="{D5CDD505-2E9C-101B-9397-08002B2CF9AE}" pid="4" name="KSOTemplateDocerSaveRecord">
    <vt:lpwstr>eyJoZGlkIjoiZDBlMWU2NTg4OWE2Njc2ZTUxMjE2ZjM2NjM0NjM4OGYiLCJ1c2VySWQiOiIxMTM3NDE4NjczIn0=</vt:lpwstr>
  </property>
</Properties>
</file>