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DC1B83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乔河乡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卫生院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42212373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卫生院是以公共卫生服务为主，综合提供预防、保健和基本医疗等服务等工作的职能部门。主要职责是:主要职责是:承担本镇辖区各项医疗卫生服务和公共卫生服务。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卫生院内设中西医门诊部、住院部、中西药房、心电图室，B超室、化验室、公卫科、收费室、疫苗接种室。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辖区下属卫生室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121.55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121.55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/>
          <w:sz w:val="32"/>
          <w:szCs w:val="32"/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121.55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121.55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/>
          <w:sz w:val="32"/>
          <w:szCs w:val="32"/>
        </w:rPr>
        <w:t>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121.55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121.55</w:t>
      </w:r>
      <w:r>
        <w:rPr>
          <w:rStyle w:val="20"/>
          <w:rFonts w:hint="default" w:hAnsi="仿宋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18.19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val="en-US" w:eastAsia="zh-CN"/>
        </w:rPr>
        <w:t>卫生健康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94.55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；</w:t>
      </w:r>
      <w:r>
        <w:rPr>
          <w:rStyle w:val="20"/>
          <w:rFonts w:hint="eastAsia" w:hAnsi="仿宋" w:eastAsia="仿宋_GB2312"/>
          <w:lang w:val="en-US" w:eastAsia="zh-CN"/>
        </w:rPr>
        <w:t>住房保障支出</w:t>
      </w:r>
      <w:r>
        <w:rPr>
          <w:rStyle w:val="20"/>
          <w:rFonts w:hint="eastAsia" w:hAnsi="仿宋" w:eastAsia="仿宋_GB2312"/>
          <w:highlight w:val="yellow"/>
          <w:lang w:val="en-US" w:eastAsia="zh-CN"/>
        </w:rPr>
        <w:t>8.81</w:t>
      </w:r>
      <w:r>
        <w:rPr>
          <w:rStyle w:val="20"/>
          <w:rFonts w:hint="eastAsia" w:hAnsi="仿宋" w:eastAsia="仿宋_GB2312"/>
          <w:lang w:val="en-US" w:eastAsia="zh-CN"/>
        </w:rPr>
        <w:t>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卫生院</w:t>
      </w:r>
      <w:r>
        <w:rPr>
          <w:rFonts w:hint="eastAsia" w:ascii="仿宋_GB2312" w:hAnsi="微软雅黑" w:eastAsia="仿宋_GB2312"/>
          <w:sz w:val="32"/>
          <w:szCs w:val="32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121.55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12.25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9.16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人员变动后支出减少。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118.11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就业补助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3.44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18.19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减少0.04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94.55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年预算增加13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.95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，经费增加；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8.81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0.73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9429A8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FA0DEF5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万元（其中：公务用车购置0.00万元，公务用车运行维护费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137.86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1457.23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297.57</w:t>
      </w:r>
      <w:r>
        <w:rPr>
          <w:rFonts w:hint="eastAsia" w:ascii="仿宋_GB2312" w:hAnsi="仿宋" w:eastAsia="仿宋_GB2312"/>
          <w:sz w:val="32"/>
          <w:szCs w:val="32"/>
        </w:rPr>
        <w:t>万元。预算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0个，</w:t>
      </w:r>
      <w:r>
        <w:rPr>
          <w:rFonts w:hint="eastAsia" w:ascii="仿宋_GB2312" w:hAnsi="仿宋" w:eastAsia="仿宋_GB2312"/>
          <w:sz w:val="32"/>
          <w:szCs w:val="32"/>
        </w:rPr>
        <w:t>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  <w:bookmarkStart w:id="0" w:name="_GoBack"/>
      <w:bookmarkEnd w:id="0"/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卫生院2025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卫生院</w:t>
      </w:r>
      <w:r>
        <w:rPr>
          <w:rFonts w:hint="eastAsia" w:ascii="仿宋_GB2312" w:hAnsi="仿宋" w:eastAsia="仿宋_GB2312"/>
          <w:sz w:val="32"/>
          <w:szCs w:val="32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卫生院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乔河乡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09899"/>
    <w:multiLevelType w:val="singleLevel"/>
    <w:tmpl w:val="5AA09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C95EF5"/>
    <w:rsid w:val="103D1EE8"/>
    <w:rsid w:val="113741D2"/>
    <w:rsid w:val="1438344A"/>
    <w:rsid w:val="18330BA7"/>
    <w:rsid w:val="18B441A1"/>
    <w:rsid w:val="1D34261E"/>
    <w:rsid w:val="1E9462B7"/>
    <w:rsid w:val="42A05423"/>
    <w:rsid w:val="49B51CCC"/>
    <w:rsid w:val="4C433C79"/>
    <w:rsid w:val="527E074E"/>
    <w:rsid w:val="541A02B8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3785</Words>
  <Characters>4097</Characters>
  <Lines>68</Lines>
  <Paragraphs>19</Paragraphs>
  <TotalTime>156</TotalTime>
  <ScaleCrop>false</ScaleCrop>
  <LinksUpToDate>false</LinksUpToDate>
  <CharactersWithSpaces>4294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^O^...</cp:lastModifiedBy>
  <cp:lastPrinted>2025-02-07T07:08:00Z</cp:lastPrinted>
  <dcterms:modified xsi:type="dcterms:W3CDTF">2025-02-10T04:23:34Z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F80B92806903478A9C9B73CABBC70EF8_13</vt:lpwstr>
  </property>
  <property fmtid="{D5CDD505-2E9C-101B-9397-08002B2CF9AE}" pid="4" name="KSOTemplateDocerSaveRecord">
    <vt:lpwstr>eyJoZGlkIjoiOTAzNjRjMzJkZTJmNDU3OGYzMWUxNWU2YjYxMmE3NjUiLCJ1c2VySWQiOiI3MjQ1OTM3OTEifQ==</vt:lpwstr>
  </property>
</Properties>
</file>