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3696F0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华池县五蛟镇李良子社区医疗卫生工作站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7540A83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76910E2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五蛟镇李良子社区医疗卫生工作站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是以公共卫生服务为主，综合提供预防、保健和基本医疗等服务等工作的职能部门。主要职责是:主要职责是:承担本镇辖区各项医疗卫生服务和公共卫生服务。</w:t>
      </w:r>
    </w:p>
    <w:p w14:paraId="484311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一、提供基本医疗服务</w:t>
      </w:r>
    </w:p>
    <w:p w14:paraId="0CBB948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1、开展内、外、中医等各科常见病、多发病的诊疗；  </w:t>
      </w:r>
    </w:p>
    <w:p w14:paraId="4B139EE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2、承担着本镇及周边乡镇的现场应急救护和转诊服务。</w:t>
      </w:r>
    </w:p>
    <w:p w14:paraId="630305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3、提供政府卫生行政部门批准的其他医疗服务。</w:t>
      </w:r>
    </w:p>
    <w:p w14:paraId="5307925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二、提供公共卫生服务</w:t>
      </w:r>
    </w:p>
    <w:p w14:paraId="1258CDC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 w14:paraId="328866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2、负责我院辖区内突发公共卫生事件的报告并协助处理；                                                      </w:t>
      </w:r>
    </w:p>
    <w:p w14:paraId="7AAD85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3、做好卫生行政部门规定的其他公共卫生服务；</w:t>
      </w:r>
    </w:p>
    <w:p w14:paraId="50978C3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三、承担公共卫生服务管理</w:t>
      </w:r>
    </w:p>
    <w:p w14:paraId="7C0F123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 w14:paraId="21F75B9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DF2D665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ab/>
      </w:r>
    </w:p>
    <w:p w14:paraId="50D7FE02"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五蛟镇李良子社区医疗卫生工作站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内设中西医门诊部、住院部、中西药房、心电图室，B超室、化验室、公卫科、收费室、疫苗接种室。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辖区下属卫生室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华池县五蛟镇李良子社区医疗卫生工作站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按照预算管理有关规定，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华池县五蛟镇李良子社区医疗卫生工作站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年部门收支总预算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72.81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万元。按照综合预算的原则，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华池县五蛟镇李良子社区医疗卫生工作站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年收入预算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72.81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万元（详见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华池县五蛟镇李良子社区医疗卫生工作站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一般公共预算收入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72.81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政府性基金预算收入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上年结转收入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其他收入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年支出预算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72.81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万元（详见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华池县五蛟镇李良子社区医疗卫生工作站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预算公开表3）。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其中：基本支出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72.81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万元，占</w:t>
      </w:r>
      <w:r>
        <w:rPr>
          <w:rStyle w:val="20"/>
          <w:rFonts w:hint="eastAsia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100.00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%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；项目支出</w:t>
      </w:r>
      <w:r>
        <w:rPr>
          <w:rStyle w:val="20"/>
          <w:rFonts w:hint="eastAsia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Style w:val="20"/>
          <w:rFonts w:hint="eastAsia" w:hAnsi="仿宋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占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； 上年结转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万元，占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仿宋_GB2312" w:hAnsi="仿宋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年一般公共预算当年支出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72.81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万元，包括：社会保障和就业支出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11.41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万元、</w:t>
      </w:r>
      <w:r>
        <w:rPr>
          <w:rStyle w:val="20"/>
          <w:rFonts w:hint="eastAsia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卫生健康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支出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56.67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Style w:val="20"/>
          <w:rFonts w:hint="eastAsia" w:hAnsi="仿宋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20"/>
          <w:rFonts w:hint="eastAsia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住房保障支出4.74万元</w:t>
      </w:r>
      <w:r>
        <w:rPr>
          <w:rStyle w:val="20"/>
          <w:rFonts w:hint="default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具体安排情况如下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（详见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华池县五蛟镇李良子社区医疗卫生工作站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预算公开表4,5,6,7）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年基本支出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72.81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万元，比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年预算减少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14.72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8.44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%，下降的主要原因是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人员变动后支出减少。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其中：人员经费支出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70.74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就业补助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公用经费支出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2.07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万元，主要包括：工会经费、福利费、其他商品和服务支出。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本单位无项目支出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年预算数为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11.41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万元，比202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bookmarkStart w:id="0" w:name="_GoBack"/>
      <w:bookmarkEnd w:id="0"/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增加0.04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万元，主要原因是单位人员变动，经费增加；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2.卫生健康支出202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年预算数为</w:t>
      </w:r>
      <w:r>
        <w:rPr>
          <w:rStyle w:val="21"/>
          <w:rFonts w:hint="eastAsia" w:ascii="仿宋_GB2312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56.67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万元，比202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年预算增加13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.95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变动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，经费增加；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3.住房保障202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年预算数为</w:t>
      </w:r>
      <w:r>
        <w:rPr>
          <w:rStyle w:val="20"/>
          <w:rFonts w:hint="eastAsia" w:hAnsi="仿宋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4.74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万元，比202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年预算增加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0.73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黑体" w:hAnsi="黑体" w:eastAsia="黑体" w:cs="宋体"/>
          <w:kern w:val="0"/>
          <w:sz w:val="32"/>
          <w:szCs w:val="32"/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FA0DEF5">
      <w:pPr>
        <w:numPr>
          <w:numId w:val="0"/>
        </w:numPr>
        <w:adjustRightInd w:val="0"/>
        <w:snapToGrid w:val="0"/>
        <w:spacing w:line="640" w:lineRule="exact"/>
        <w:contextualSpacing/>
        <w:rPr>
          <w:rFonts w:hint="default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" w:eastAsia="楷体_GB2312" w:cs="宋体"/>
          <w:b w:val="0"/>
          <w:bCs w:val="0"/>
          <w:kern w:val="0"/>
          <w:sz w:val="32"/>
          <w:szCs w:val="32"/>
          <w:lang w:val="en-US" w:eastAsia="zh-CN"/>
        </w:rPr>
        <w:t>无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。</w:t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上年末固定资产金额为58.16万元。其中：办公用房299平方米，价值8.01万元。预算单位共无公务用车。单价20万元以上的设备0个。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华池县五蛟镇李良子社区医疗卫生工作站2025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sz w:val="32"/>
          <w:szCs w:val="32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sz w:val="32"/>
          <w:szCs w:val="32"/>
        </w:rPr>
        <w:t>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仿宋_GB2312" w:hAnsi="仿宋" w:eastAsia="仿宋_GB2312"/>
          <w:sz w:val="32"/>
          <w:szCs w:val="32"/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240" w:lineRule="auto"/>
        <w:ind w:right="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华池县五蛟镇李良子社区医疗卫生工作站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1.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firstLine="1600" w:firstLineChars="5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华池县五蛟镇李良子社区医疗卫生工作站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C95EF5"/>
    <w:rsid w:val="103D1EE8"/>
    <w:rsid w:val="113741D2"/>
    <w:rsid w:val="18330BA7"/>
    <w:rsid w:val="18B441A1"/>
    <w:rsid w:val="1D34261E"/>
    <w:rsid w:val="1E9462B7"/>
    <w:rsid w:val="2177092A"/>
    <w:rsid w:val="375F2CC2"/>
    <w:rsid w:val="42A05423"/>
    <w:rsid w:val="49B51CCC"/>
    <w:rsid w:val="4C433C79"/>
    <w:rsid w:val="527E074E"/>
    <w:rsid w:val="541A02B8"/>
    <w:rsid w:val="56393C72"/>
    <w:rsid w:val="579503FF"/>
    <w:rsid w:val="60535296"/>
    <w:rsid w:val="64522010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4036</Words>
  <Characters>4327</Characters>
  <Lines>68</Lines>
  <Paragraphs>19</Paragraphs>
  <TotalTime>20</TotalTime>
  <ScaleCrop>false</ScaleCrop>
  <LinksUpToDate>false</LinksUpToDate>
  <CharactersWithSpaces>4557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花落丶听雨丿孤</cp:lastModifiedBy>
  <cp:lastPrinted>2025-02-07T07:08:00Z</cp:lastPrinted>
  <dcterms:modified xsi:type="dcterms:W3CDTF">2025-02-11T05:51:29Z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F80B92806903478A9C9B73CABBC70EF8_13</vt:lpwstr>
  </property>
  <property fmtid="{D5CDD505-2E9C-101B-9397-08002B2CF9AE}" pid="4" name="KSOTemplateDocerSaveRecord">
    <vt:lpwstr>eyJoZGlkIjoiZjE4NjE2N2RiMGQ2MmYzNTc3ZDAwMGRjOWZkZDg4MWIiLCJ1c2VySWQiOiIyMjQ3MzAxNjAifQ==</vt:lpwstr>
  </property>
</Properties>
</file>