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6F6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DED004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6C88B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6584AA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华池县上堡子小学</w:t>
      </w:r>
    </w:p>
    <w:p w14:paraId="6F7DE1B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0828E60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55FEECF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56E9873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056AB44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3C5CA4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59E610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03B270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2B870DA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240D50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F13DB5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7E6407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66C3F83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3269499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01655A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3813F90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F5184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121189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4895B7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8EE8B4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665DCE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7B6D57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7302A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C68EB5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F0E303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2E1DA4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985666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29AF3EB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E010DD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4FC43A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C1861A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350DFB6A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6A70B5D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642DB56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7410D87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ED98F0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07A174F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上堡子小学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属全额拨款事业单位，隶属于华池县教育局，主要职责是负责普及本辖区内及周边附近乡村适龄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义务教育工作。</w:t>
      </w:r>
    </w:p>
    <w:p w14:paraId="7EB7E0E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61332024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17DAB9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设机构3个处室（教务处、政教处、总务处），教务处主要负责学校全盘教学工作，教学安排、学情检测等；政教处主要负责学校的德育及学生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安全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管理工作；总务处主要负责教师学生餐饮、教学后勤保障等工作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068F605F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54DDC84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7B646FB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3A8E8F9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66C54856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638DA70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74B7856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万元。按照综合预算的原则，部门（单位）所有收入和支出均纳入部门预算管理。收入包括：一般公共预算拨款收入；支出包括：教育支出、社会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支出、卫生健康支出、住房保障支出。</w:t>
      </w:r>
    </w:p>
    <w:p w14:paraId="6BC98BA9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3059E54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4F75FD4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875E8D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0BBA007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2B4C7F7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65971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Style w:val="20"/>
          <w:rFonts w:hint="default" w:hAnsi="仿宋"/>
        </w:rPr>
        <w:t>万元，包括：教育支出</w:t>
      </w:r>
      <w:r>
        <w:rPr>
          <w:rStyle w:val="20"/>
          <w:rFonts w:hint="eastAsia" w:hAnsi="仿宋" w:eastAsia="仿宋_GB2312"/>
          <w:lang w:val="en-US" w:eastAsia="zh-CN"/>
        </w:rPr>
        <w:t>235.58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50.99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16.03</w:t>
      </w:r>
      <w:r>
        <w:rPr>
          <w:rStyle w:val="20"/>
          <w:rFonts w:hint="default" w:hAnsi="仿宋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22.62万元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5C20CDC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5A58501A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325.22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36.74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万元，增长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11.29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人员调入以及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工资普调导致工资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福利支出预算增加。</w:t>
      </w:r>
    </w:p>
    <w:p w14:paraId="197ECAB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315.17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92.35万元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111.8万元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21.38万元</w:t>
      </w:r>
      <w:r>
        <w:rPr>
          <w:rFonts w:hint="eastAsia" w:ascii="仿宋_GB2312" w:hAnsi="仿宋" w:eastAsia="仿宋_GB2312"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30.7万元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15.35万元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12.25万元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3.78万元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4.94万元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22.62万元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97AFA7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10.05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2.26万元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4.71万元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78A91D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09B78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FCCA5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424B0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AE1434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8D1E77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1652E1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auto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1.教育支出（ 类）普通教育（ 款） 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小学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教育（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235.58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24.87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增长11.80%，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人员调到以及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工资普调导致工资福利预算增大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。</w:t>
      </w:r>
    </w:p>
    <w:p w14:paraId="1D040CD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auto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2.社会保障和就业支出（ 类）行政事业单位养老支出（ 款）机关事业单位基本养老保险缴费支出、机关事业单位职业年金缴费支出（ 项）202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50.99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8.32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万元， 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增长19.49%，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。</w:t>
      </w:r>
    </w:p>
    <w:p w14:paraId="3B458EC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auto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3.卫生健康支出（ 类）行政事业单位医疗（ 款）事业单位医疗（ 项）202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16.03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1.33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增长9.04%，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。</w:t>
      </w:r>
    </w:p>
    <w:p w14:paraId="1867E46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 类）住房改革支出（ 款）住房公积金（ 项）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22.62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2.22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增长10.88%，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。</w:t>
      </w:r>
    </w:p>
    <w:p w14:paraId="27FED00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659497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28541FF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“三公”经费预算。</w:t>
      </w:r>
    </w:p>
    <w:p w14:paraId="1BCC9C4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63800B2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50C36B2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6A606B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0CC6FA3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32A429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2EE09FB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DDC9D9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1.76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1.76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万元，政府采购工程预算0万元，政府采购服务预算0万元。</w:t>
      </w:r>
    </w:p>
    <w:p w14:paraId="213739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2024年，部门（单位）面向中小企业预留政府采购项目预算金额 0 万元，小微企业预留政府采购项目预算金额0万元。</w:t>
      </w:r>
    </w:p>
    <w:p w14:paraId="52BE2C3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八、国有资产占用情况</w:t>
      </w:r>
    </w:p>
    <w:p w14:paraId="120E243C">
      <w:pPr>
        <w:adjustRightInd w:val="0"/>
        <w:snapToGrid w:val="0"/>
        <w:spacing w:line="640" w:lineRule="exact"/>
        <w:ind w:firstLine="620" w:firstLineChars="200"/>
        <w:contextualSpacing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上年末固定资产金额为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591.39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万元。预算部门（单位）共有公务用车0辆，价值0万元。2024年拟采购固定资产约0万元。</w:t>
      </w:r>
    </w:p>
    <w:p w14:paraId="019043B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2BAD624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44095F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243C2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906249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8DD29B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D6D62C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2189D07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3F7718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未安排预算，位管理转移支付表为空表。</w:t>
      </w:r>
    </w:p>
    <w:p w14:paraId="0E137E9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5D68F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FB78FD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267CCAF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年预算绩效管理工作情况。</w:t>
      </w:r>
    </w:p>
    <w:p w14:paraId="40390D9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3741B5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 w14:paraId="524F8F4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7C625E1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46C5B62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787113D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年绩效目标编制情况</w:t>
      </w:r>
    </w:p>
    <w:p w14:paraId="1572F27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各项绩效目标内容指向明确、细化量化、合理可行，符合规定的格式要求。</w:t>
      </w:r>
    </w:p>
    <w:p w14:paraId="30EE933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十一、名词解释</w:t>
      </w:r>
    </w:p>
    <w:p w14:paraId="2911D8C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指由一般公共预算、政府性基金预算、国有资本经营预算安排的财政拨款数。</w:t>
      </w:r>
    </w:p>
    <w:p w14:paraId="41C8310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包括公共财政拨款（补助）资金、专项收入。</w:t>
      </w:r>
    </w:p>
    <w:p w14:paraId="22302BA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包括专户管理行政事业性收费（主要是教育收费）、其他非税收入。</w:t>
      </w:r>
    </w:p>
    <w:p w14:paraId="20A17E1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包括事业收入、事业经营收入、其他收入等。</w:t>
      </w:r>
    </w:p>
    <w:p w14:paraId="2DDC9E3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包括人员经费、公用经费（定额）。其中，人员经费包括工资福利支出、对个人和家庭的补助。</w:t>
      </w:r>
    </w:p>
    <w:p w14:paraId="46221F6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599478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B4D4CE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auto"/>
          <w:sz w:val="32"/>
          <w:szCs w:val="32"/>
        </w:rPr>
      </w:pPr>
      <w:r>
        <w:rPr>
          <w:rFonts w:hint="eastAsia" w:ascii="仿宋_GB2312" w:hAnsi="CIDFont+F4" w:eastAsia="仿宋_GB2312"/>
          <w:b/>
          <w:color w:val="auto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F753784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华池县上堡子小学</w:t>
      </w:r>
    </w:p>
    <w:p w14:paraId="3F2B8C63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日</w:t>
      </w:r>
    </w:p>
    <w:p w14:paraId="2F261784">
      <w:pPr>
        <w:adjustRightInd w:val="0"/>
        <w:snapToGrid w:val="0"/>
        <w:spacing w:line="640" w:lineRule="exact"/>
        <w:ind w:right="1120"/>
        <w:contextualSpacing/>
        <w:jc w:val="left"/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华池县上堡子小学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预算公开表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  <w:t>。</w:t>
      </w:r>
    </w:p>
    <w:p w14:paraId="731326F9">
      <w:pPr>
        <w:adjustRightInd w:val="0"/>
        <w:snapToGrid w:val="0"/>
        <w:spacing w:line="640" w:lineRule="exact"/>
        <w:ind w:right="1120" w:firstLine="960" w:firstLineChars="300"/>
        <w:contextualSpacing/>
        <w:jc w:val="left"/>
        <w:rPr>
          <w:color w:val="auto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华池县上堡子小学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-Bold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国标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IDFont+F4">
    <w:altName w:val="国标仿宋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1C42">
    <w:pPr>
      <w:pStyle w:val="5"/>
      <w:jc w:val="center"/>
    </w:pPr>
  </w:p>
  <w:p w14:paraId="4E63A3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8602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23E7C5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WUyNDk5ODYxZThiY2E2YjcwNDk0NWY5NzJlZT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85459C"/>
    <w:rsid w:val="0E220770"/>
    <w:rsid w:val="1021389E"/>
    <w:rsid w:val="10412682"/>
    <w:rsid w:val="113741D2"/>
    <w:rsid w:val="17E56F60"/>
    <w:rsid w:val="18330BA7"/>
    <w:rsid w:val="1D34261E"/>
    <w:rsid w:val="1DB418AE"/>
    <w:rsid w:val="22E569AE"/>
    <w:rsid w:val="292C5E45"/>
    <w:rsid w:val="331E00E5"/>
    <w:rsid w:val="38233460"/>
    <w:rsid w:val="3CC94AA6"/>
    <w:rsid w:val="42A05423"/>
    <w:rsid w:val="46DE2AC4"/>
    <w:rsid w:val="4C433C79"/>
    <w:rsid w:val="527E074E"/>
    <w:rsid w:val="56393C72"/>
    <w:rsid w:val="579503FF"/>
    <w:rsid w:val="58EB71FA"/>
    <w:rsid w:val="60535296"/>
    <w:rsid w:val="696806BC"/>
    <w:rsid w:val="6D747274"/>
    <w:rsid w:val="719E532A"/>
    <w:rsid w:val="72FD2525"/>
    <w:rsid w:val="74DD43BC"/>
    <w:rsid w:val="74F160B9"/>
    <w:rsid w:val="76DF9846"/>
    <w:rsid w:val="78106856"/>
    <w:rsid w:val="7C296138"/>
    <w:rsid w:val="7DC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3452</Words>
  <Characters>3735</Characters>
  <Lines>68</Lines>
  <Paragraphs>19</Paragraphs>
  <TotalTime>92</TotalTime>
  <ScaleCrop>false</ScaleCrop>
  <LinksUpToDate>false</LinksUpToDate>
  <CharactersWithSpaces>3777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qyshcx</cp:lastModifiedBy>
  <cp:lastPrinted>2025-02-10T16:50:00Z</cp:lastPrinted>
  <dcterms:modified xsi:type="dcterms:W3CDTF">2025-02-11T16:27:21Z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C5F5C2E44F744076B25D3B2FEB967B74_13</vt:lpwstr>
  </property>
  <property fmtid="{D5CDD505-2E9C-101B-9397-08002B2CF9AE}" pid="4" name="KSOTemplateDocerSaveRecord">
    <vt:lpwstr>eyJoZGlkIjoiNzBmOGI2OTVmNGUyYTk1ZTE1MGI0ZDQ4YTcxYzYzODgiLCJ1c2VySWQiOiI2NDM5MTYyMzQifQ==</vt:lpwstr>
  </property>
</Properties>
</file>