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DF95" w14:textId="77777777" w:rsidR="00000000" w:rsidRDefault="0000000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C7A2DAD" w14:textId="77777777" w:rsidR="00000000" w:rsidRDefault="0000000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636F175" w14:textId="77777777" w:rsidR="00000000" w:rsidRDefault="0000000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4D9E467" w14:textId="77777777" w:rsidR="00000000" w:rsidRDefault="00000000">
      <w:pPr>
        <w:spacing w:line="660" w:lineRule="exact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华池县不动产登记事务中心</w:t>
      </w:r>
    </w:p>
    <w:p w14:paraId="761C2785" w14:textId="77777777" w:rsidR="00000000" w:rsidRDefault="0000000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 w:rsidR="00000000">
          <w:footerReference w:type="default" r:id="rId6"/>
          <w:pgSz w:w="11906" w:h="16838"/>
          <w:pgMar w:top="1134" w:right="1134" w:bottom="1440" w:left="1276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 xml:space="preserve">2025年预算公开情况说明 </w:t>
      </w:r>
    </w:p>
    <w:p w14:paraId="31250CEF" w14:textId="77777777" w:rsidR="00000000" w:rsidRDefault="0000000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lastRenderedPageBreak/>
        <w:t>目  录</w:t>
      </w:r>
    </w:p>
    <w:p w14:paraId="756DEAC9" w14:textId="77777777" w:rsidR="00000000" w:rsidRDefault="0000000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4D5298B" w14:textId="77777777" w:rsidR="00000000" w:rsidRDefault="00000000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0A76B2C" w14:textId="77777777" w:rsidR="00000000" w:rsidRDefault="00000000">
      <w:pPr>
        <w:spacing w:line="560" w:lineRule="exact"/>
        <w:ind w:firstLineChars="200" w:firstLine="602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第一部分 部门/单位基本概况</w:t>
      </w:r>
    </w:p>
    <w:p w14:paraId="41C7613C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一、部门/单位职责</w:t>
      </w:r>
    </w:p>
    <w:p w14:paraId="18EA0401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二、机构设置情况</w:t>
      </w:r>
    </w:p>
    <w:p w14:paraId="64A85F98" w14:textId="77777777" w:rsidR="00000000" w:rsidRDefault="00000000">
      <w:pPr>
        <w:spacing w:line="560" w:lineRule="exact"/>
        <w:ind w:firstLineChars="200" w:firstLine="602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第二部分 2025年部门/单位预算情况说明</w:t>
      </w:r>
    </w:p>
    <w:p w14:paraId="2A684421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三、收支总体情况</w:t>
      </w:r>
    </w:p>
    <w:p w14:paraId="7D0A6DC4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四、一般公共预算情况</w:t>
      </w:r>
    </w:p>
    <w:p w14:paraId="1421F8DC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五、一般公共预算财政拨款“三公”经费、培训费、会议费等情况</w:t>
      </w:r>
    </w:p>
    <w:p w14:paraId="7654BEC0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六、一般公共预算财政拨款机关运行经费情况</w:t>
      </w:r>
    </w:p>
    <w:p w14:paraId="2C26B9BF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七、政府采购安排情况</w:t>
      </w:r>
    </w:p>
    <w:p w14:paraId="64B0A0BD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八、国有资产占用情况</w:t>
      </w:r>
    </w:p>
    <w:p w14:paraId="67135005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九、其他重要事项情况说明</w:t>
      </w:r>
    </w:p>
    <w:p w14:paraId="6AF1B617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十、预算绩效管理情况</w:t>
      </w:r>
    </w:p>
    <w:p w14:paraId="55E38E3C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十一、名词解释</w:t>
      </w:r>
    </w:p>
    <w:p w14:paraId="15D473A2" w14:textId="77777777" w:rsidR="00000000" w:rsidRDefault="00000000">
      <w:pPr>
        <w:spacing w:line="560" w:lineRule="exact"/>
        <w:ind w:firstLineChars="200" w:firstLine="602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第三部分 2025年部门（单位）预算公开表</w:t>
      </w:r>
    </w:p>
    <w:p w14:paraId="1264CD8B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一、部门/单位收支总体情况表</w:t>
      </w:r>
    </w:p>
    <w:p w14:paraId="402E101C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二、部门/单位收入总体情况表</w:t>
      </w:r>
    </w:p>
    <w:p w14:paraId="422CC801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三、部门/单位支出总体情况表</w:t>
      </w:r>
    </w:p>
    <w:p w14:paraId="4B01B34B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四、财政拨款收支总体情况表</w:t>
      </w:r>
    </w:p>
    <w:p w14:paraId="1B48116D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五、财政拨款支出表</w:t>
      </w:r>
    </w:p>
    <w:p w14:paraId="36D13985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六、一般公共预算支出情况表</w:t>
      </w:r>
    </w:p>
    <w:p w14:paraId="139882A1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七、一般公共预算基本支出情况表</w:t>
      </w:r>
    </w:p>
    <w:p w14:paraId="5CD80FC3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pacing w:val="-2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八、</w:t>
      </w:r>
      <w:r>
        <w:rPr>
          <w:rFonts w:ascii="仿宋_GB2312" w:eastAsia="仿宋_GB2312" w:hAnsi="仿宋" w:hint="eastAsia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67E18B4C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九、一般公共预算财政拨款机关运行经费表</w:t>
      </w:r>
    </w:p>
    <w:p w14:paraId="52A9CC2F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lastRenderedPageBreak/>
        <w:t>十、政府性基金预算支出情况表</w:t>
      </w:r>
    </w:p>
    <w:p w14:paraId="570AFE4A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十一、部门管理转移支付表</w:t>
      </w:r>
    </w:p>
    <w:p w14:paraId="5BCA4734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十二、国有资本经营预算支出情况表</w:t>
      </w:r>
    </w:p>
    <w:p w14:paraId="7A1A8C6D" w14:textId="77777777" w:rsidR="00000000" w:rsidRDefault="00000000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十三、部门/单位整体支出绩效目标表和项目支出绩效目标表</w:t>
      </w:r>
    </w:p>
    <w:p w14:paraId="678A1912" w14:textId="77777777" w:rsidR="00000000" w:rsidRDefault="00000000">
      <w:pPr>
        <w:spacing w:line="660" w:lineRule="exact"/>
        <w:jc w:val="center"/>
        <w:rPr>
          <w:rFonts w:ascii="仿宋_GB2312" w:eastAsia="仿宋_GB2312" w:hAnsi="宋体" w:cs="宋体"/>
          <w:b/>
          <w:bCs/>
          <w:kern w:val="0"/>
          <w:sz w:val="44"/>
          <w:szCs w:val="44"/>
        </w:rPr>
      </w:pPr>
    </w:p>
    <w:p w14:paraId="37F0C1E6" w14:textId="77777777" w:rsidR="00000000" w:rsidRDefault="00000000">
      <w:pPr>
        <w:spacing w:line="600" w:lineRule="exact"/>
        <w:ind w:firstLineChars="200" w:firstLine="562"/>
        <w:rPr>
          <w:rFonts w:ascii="仿宋_GB2312" w:eastAsia="仿宋_GB2312" w:hAnsi="仿宋" w:cs="宋体"/>
          <w:b/>
          <w:kern w:val="0"/>
          <w:sz w:val="28"/>
          <w:szCs w:val="28"/>
        </w:rPr>
        <w:sectPr w:rsidR="00000000">
          <w:footerReference w:type="default" r:id="rId7"/>
          <w:pgSz w:w="11906" w:h="16838"/>
          <w:pgMar w:top="1134" w:right="1134" w:bottom="1440" w:left="1276" w:header="851" w:footer="992" w:gutter="0"/>
          <w:pgNumType w:start="1"/>
          <w:cols w:space="720"/>
          <w:docGrid w:type="lines" w:linePitch="312"/>
        </w:sectPr>
      </w:pPr>
    </w:p>
    <w:p w14:paraId="2A4B5FC9" w14:textId="77777777" w:rsidR="00000000" w:rsidRDefault="00000000">
      <w:pPr>
        <w:spacing w:line="600" w:lineRule="exact"/>
        <w:ind w:firstLineChars="200" w:firstLine="643"/>
        <w:rPr>
          <w:rFonts w:ascii="仿宋_GB2312" w:eastAsia="仿宋_GB2312" w:hAnsi="黑体" w:cs="宋体"/>
          <w:b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/>
          <w:kern w:val="0"/>
          <w:sz w:val="32"/>
          <w:szCs w:val="32"/>
        </w:rPr>
        <w:lastRenderedPageBreak/>
        <w:t>前言</w:t>
      </w:r>
    </w:p>
    <w:p w14:paraId="28A66395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eastAsia="仿宋_GB2312" w:hAnsi="仿宋" w:cs="宋体"/>
          <w:kern w:val="0"/>
          <w:sz w:val="32"/>
          <w:szCs w:val="32"/>
        </w:rPr>
        <w:t>财政部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甘肃省人民政府办公厅关于进一步推进预算公开工作的实施方案》要求，现将2025年部门预算公开如下：</w:t>
      </w:r>
    </w:p>
    <w:p w14:paraId="12472280" w14:textId="77777777" w:rsidR="00000000" w:rsidRDefault="00000000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一、单位职责</w:t>
      </w:r>
    </w:p>
    <w:p w14:paraId="4E033408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555" w:lineRule="atLeast"/>
        <w:ind w:firstLine="645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华池县不动产登记事务中心主要负责全县土地、房屋、林地、草地等不动产统一登记工作；负责建立各类不动产登记信息管理基础平台、数据库等，保证信息系统正常运行；负责不动产登记资料社会查询服务；负责不动产登记有关事宜的受理、送审和证书领取发放工作；承办不动产登记人员上岗资格初审；负责各类不动产登记资料的收集、整理、共享、汇交管理和归档。</w:t>
      </w:r>
    </w:p>
    <w:p w14:paraId="6BF00533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555" w:lineRule="atLeast"/>
        <w:ind w:firstLine="645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二、机构设置情况</w:t>
      </w:r>
    </w:p>
    <w:p w14:paraId="72045DC0" w14:textId="77777777" w:rsidR="00000000" w:rsidRDefault="00000000">
      <w:pPr>
        <w:spacing w:line="600" w:lineRule="exact"/>
        <w:ind w:firstLineChars="200" w:firstLine="643"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（一）机关内设机构</w:t>
      </w:r>
    </w:p>
    <w:p w14:paraId="2C8D8211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555" w:lineRule="atLeast"/>
        <w:ind w:firstLine="645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/>
          <w:sz w:val="32"/>
          <w:szCs w:val="32"/>
        </w:rPr>
        <w:t>华池县不动产登记事务中心成立于2015年11月，本单位为全额拨款副科级事业单位，隶属华池县国土资源局（华池县不动产登记管理局）管理，内设办公室、登记股（政务大厅）、权籍信息股、调查股4个办公室。</w:t>
      </w:r>
    </w:p>
    <w:p w14:paraId="4BC38EA2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555" w:lineRule="atLeast"/>
        <w:ind w:firstLine="645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/>
          <w:sz w:val="32"/>
          <w:szCs w:val="32"/>
        </w:rPr>
        <w:t>1、办公室主要职责：负责中心文电、印信和文件的起草、校印、送发和归档工作；负责综合事务协调和领导交办的工作；负责职工的</w:t>
      </w:r>
      <w:r>
        <w:rPr>
          <w:rFonts w:ascii="仿宋_GB2312" w:eastAsia="仿宋_GB2312" w:hAnsi="仿宋" w:cs="宋体"/>
          <w:sz w:val="32"/>
          <w:szCs w:val="32"/>
        </w:rPr>
        <w:lastRenderedPageBreak/>
        <w:t>业务培训、保密、社会治安、环境卫生和后勤保障工作；负责接待群众来信来访工作；负责组织机关的政治业务学习，协助其他股室搞好有关登记工作；负责不动产登记局内行政事务管理工作；协调林业等部门确定的重点国有林区森林、林木、林地的登记发证。</w:t>
      </w:r>
    </w:p>
    <w:p w14:paraId="2843A921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555" w:lineRule="atLeast"/>
        <w:ind w:firstLine="645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/>
          <w:sz w:val="32"/>
          <w:szCs w:val="32"/>
        </w:rPr>
        <w:t>2、登记股（政务大厅）主要职责：严格执行不动产登记及相关工作办法、规定；承办全县土地、房屋、林地、草原等不动产登记工作，对受理的不动产登记申请依法进行审核；提出是否将有关事项记载于不动产登记簿的审核意见；将有关事项记载于不动产登记簿；核发不动产登记证书。</w:t>
      </w:r>
    </w:p>
    <w:p w14:paraId="46BC2D61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555" w:lineRule="atLeast"/>
        <w:ind w:firstLine="645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/>
          <w:sz w:val="32"/>
          <w:szCs w:val="32"/>
        </w:rPr>
        <w:t>3、权籍信息股主要职责：执行不动产权籍调查办法和标准规范，建立不动产登记信息管理基础平台、数据库，保证信息系统正常运行；承担各类不动产登记资料的收集、整理、共享、汇交管理和归档；承担不动产登记资料社会查询服务。</w:t>
      </w:r>
    </w:p>
    <w:p w14:paraId="3C25CCA3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555" w:lineRule="atLeast"/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/>
          <w:sz w:val="32"/>
          <w:szCs w:val="32"/>
        </w:rPr>
        <w:t>4、调查股主要职责：执行不动产调查标准规范和办法；会同有关部门开展不动产确权和权属争议调处工作，调处重大不动产权属争议；审核专业技术单位提交的不动产界址坐标、空间界限、权籍调查表、权属界线协议书、宗地图、房屋测绘报告、房屋平面图等调查成果；参与重要不动产产权实地调查。</w:t>
      </w:r>
    </w:p>
    <w:p w14:paraId="1128605C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555" w:lineRule="atLeast"/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/>
          <w:sz w:val="32"/>
          <w:szCs w:val="32"/>
        </w:rPr>
        <w:t>（2）人员情况</w:t>
      </w:r>
    </w:p>
    <w:p w14:paraId="5505666A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555" w:lineRule="atLeast"/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/>
          <w:sz w:val="32"/>
          <w:szCs w:val="32"/>
        </w:rPr>
        <w:lastRenderedPageBreak/>
        <w:t>核定全额拨款事业编制5名即：主任1名，干事4名。202</w:t>
      </w:r>
      <w:r>
        <w:rPr>
          <w:rFonts w:ascii="仿宋_GB2312" w:eastAsia="仿宋_GB2312" w:hAnsi="仿宋" w:cs="宋体" w:hint="eastAsia"/>
          <w:sz w:val="32"/>
          <w:szCs w:val="32"/>
        </w:rPr>
        <w:t>4年</w:t>
      </w:r>
      <w:r>
        <w:rPr>
          <w:rFonts w:ascii="仿宋_GB2312" w:eastAsia="仿宋_GB2312" w:hAnsi="仿宋" w:cs="宋体"/>
          <w:sz w:val="32"/>
          <w:szCs w:val="32"/>
        </w:rPr>
        <w:t>年末实有人数8人。</w:t>
      </w:r>
    </w:p>
    <w:p w14:paraId="4B36C4CD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555" w:lineRule="atLeast"/>
        <w:ind w:firstLine="645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三、部门/单位收支总体情况</w:t>
      </w:r>
    </w:p>
    <w:p w14:paraId="0F28D394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按照预算管理有关规定，2025年部门（单位）收支包括机关预算和直属单位预算在内的汇总情况。</w:t>
      </w:r>
    </w:p>
    <w:p w14:paraId="2C4985D8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2025年部门收支总预算136.75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1BA08856" w14:textId="77777777" w:rsidR="00000000" w:rsidRDefault="00000000">
      <w:pPr>
        <w:spacing w:line="600" w:lineRule="exact"/>
        <w:ind w:firstLineChars="200" w:firstLine="643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（一）收入预算</w:t>
      </w:r>
    </w:p>
    <w:p w14:paraId="789B0F0D" w14:textId="77777777" w:rsidR="00000000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2025年收入预算136.75万元（详见部门/单位预算公开表1,2）。包括：</w:t>
      </w:r>
    </w:p>
    <w:p w14:paraId="6F9D4E52" w14:textId="77777777" w:rsidR="00000000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一般公共预算收入 136.75 万元，占100%；</w:t>
      </w:r>
    </w:p>
    <w:p w14:paraId="00D28F83" w14:textId="77777777" w:rsidR="00000000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政府性基金预算收入 0万元，占0%；</w:t>
      </w:r>
    </w:p>
    <w:p w14:paraId="28D84179" w14:textId="77777777" w:rsidR="00000000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上年结转收入0万元，占0%；</w:t>
      </w:r>
    </w:p>
    <w:p w14:paraId="0B54913C" w14:textId="77777777" w:rsidR="00000000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其他收入0万元，占0%。</w:t>
      </w:r>
    </w:p>
    <w:p w14:paraId="46545458" w14:textId="77777777" w:rsidR="00000000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14:paraId="2C34963D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（二）支出预算</w:t>
      </w:r>
    </w:p>
    <w:p w14:paraId="78747148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2025年支出预算 136.75 万元（详见部门/单位预算公开表3）。</w:t>
      </w:r>
      <w:r>
        <w:rPr>
          <w:rStyle w:val="fontstyle01"/>
          <w:rFonts w:hAnsi="仿宋" w:hint="default"/>
        </w:rPr>
        <w:t>其中：基本支出</w:t>
      </w:r>
      <w:r>
        <w:rPr>
          <w:rStyle w:val="fontstyle21"/>
          <w:rFonts w:ascii="仿宋_GB2312" w:eastAsia="仿宋_GB2312" w:hAnsi="仿宋" w:hint="eastAsia"/>
        </w:rPr>
        <w:t xml:space="preserve"> 116.75</w:t>
      </w:r>
      <w:r>
        <w:rPr>
          <w:rStyle w:val="fontstyle01"/>
          <w:rFonts w:hAnsi="仿宋" w:hint="default"/>
        </w:rPr>
        <w:t xml:space="preserve">万元，占 </w:t>
      </w:r>
      <w:r>
        <w:rPr>
          <w:rStyle w:val="fontstyle21"/>
          <w:rFonts w:ascii="仿宋_GB2312" w:eastAsia="仿宋_GB2312" w:hAnsi="仿宋" w:hint="eastAsia"/>
        </w:rPr>
        <w:t>85.37 %</w:t>
      </w:r>
      <w:r>
        <w:rPr>
          <w:rStyle w:val="fontstyle01"/>
          <w:rFonts w:hAnsi="仿宋" w:hint="default"/>
        </w:rPr>
        <w:t>；项目支出</w:t>
      </w:r>
      <w:r>
        <w:rPr>
          <w:rStyle w:val="fontstyle01"/>
          <w:rFonts w:hAnsi="仿宋"/>
        </w:rPr>
        <w:t>20</w:t>
      </w:r>
      <w:r>
        <w:rPr>
          <w:rStyle w:val="fontstyle01"/>
          <w:rFonts w:hAnsi="仿宋" w:hint="default"/>
        </w:rPr>
        <w:t>万元，占</w:t>
      </w:r>
      <w:r>
        <w:rPr>
          <w:rStyle w:val="fontstyle21"/>
          <w:rFonts w:ascii="仿宋_GB2312" w:eastAsia="仿宋_GB2312" w:hAnsi="仿宋" w:hint="eastAsia"/>
        </w:rPr>
        <w:t xml:space="preserve"> 14.63%</w:t>
      </w:r>
      <w:r>
        <w:rPr>
          <w:rStyle w:val="fontstyle01"/>
          <w:rFonts w:hAnsi="仿宋" w:hint="default"/>
        </w:rPr>
        <w:t>；上年结转</w:t>
      </w:r>
      <w:r>
        <w:rPr>
          <w:rStyle w:val="fontstyle21"/>
          <w:rFonts w:ascii="仿宋_GB2312" w:eastAsia="仿宋_GB2312" w:hAnsi="仿宋" w:hint="eastAsia"/>
        </w:rPr>
        <w:t xml:space="preserve"> 0 </w:t>
      </w:r>
      <w:r>
        <w:rPr>
          <w:rStyle w:val="fontstyle01"/>
          <w:rFonts w:hAnsi="仿宋" w:hint="default"/>
        </w:rPr>
        <w:t>万元，占</w:t>
      </w:r>
      <w:r>
        <w:rPr>
          <w:rStyle w:val="fontstyle21"/>
          <w:rFonts w:ascii="仿宋_GB2312" w:eastAsia="仿宋_GB2312" w:hAnsi="仿宋" w:hint="eastAsia"/>
        </w:rPr>
        <w:t>0%</w:t>
      </w:r>
      <w:r>
        <w:rPr>
          <w:rStyle w:val="fontstyle01"/>
          <w:rFonts w:hAnsi="仿宋" w:hint="default"/>
        </w:rPr>
        <w:t>。</w:t>
      </w:r>
    </w:p>
    <w:p w14:paraId="262AD02B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四、一般公共预算情况</w:t>
      </w:r>
    </w:p>
    <w:p w14:paraId="5380C295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Style w:val="fontstyle21"/>
          <w:rFonts w:ascii="仿宋_GB2312" w:eastAsia="仿宋_GB2312" w:hAnsi="仿宋" w:hint="eastAsia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 xml:space="preserve">025 </w:t>
      </w:r>
      <w:r>
        <w:rPr>
          <w:rFonts w:ascii="仿宋_GB2312" w:eastAsia="仿宋_GB2312" w:hAnsi="仿宋"/>
          <w:sz w:val="32"/>
          <w:szCs w:val="32"/>
        </w:rPr>
        <w:t>年一般公共预算当年支出</w:t>
      </w:r>
      <w:r>
        <w:rPr>
          <w:rFonts w:ascii="仿宋_GB2312" w:eastAsia="仿宋_GB2312" w:hAnsi="仿宋" w:hint="eastAsia"/>
          <w:sz w:val="32"/>
          <w:szCs w:val="32"/>
        </w:rPr>
        <w:t xml:space="preserve"> 136.75 </w:t>
      </w:r>
      <w:r>
        <w:rPr>
          <w:rFonts w:ascii="仿宋_GB2312" w:eastAsia="仿宋_GB2312" w:hAnsi="仿宋"/>
          <w:sz w:val="32"/>
          <w:szCs w:val="32"/>
        </w:rPr>
        <w:t>万元，包括：一般公共服务支出</w:t>
      </w:r>
      <w:r>
        <w:rPr>
          <w:rFonts w:ascii="仿宋_GB2312" w:eastAsia="仿宋_GB2312" w:hAnsi="仿宋" w:hint="eastAsia"/>
          <w:sz w:val="32"/>
          <w:szCs w:val="32"/>
        </w:rPr>
        <w:t xml:space="preserve"> 0</w:t>
      </w:r>
      <w:r>
        <w:rPr>
          <w:rFonts w:ascii="仿宋_GB2312" w:eastAsia="仿宋_GB2312" w:hAnsi="仿宋"/>
          <w:sz w:val="32"/>
          <w:szCs w:val="32"/>
        </w:rPr>
        <w:t>万元、公共安全支出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/>
          <w:sz w:val="32"/>
          <w:szCs w:val="32"/>
        </w:rPr>
        <w:t>万元、教育支出</w:t>
      </w:r>
      <w:r>
        <w:rPr>
          <w:rFonts w:ascii="仿宋_GB2312" w:eastAsia="仿宋_GB2312" w:hAnsi="仿宋" w:hint="eastAsia"/>
          <w:sz w:val="32"/>
          <w:szCs w:val="32"/>
        </w:rPr>
        <w:t xml:space="preserve"> 0 </w:t>
      </w:r>
      <w:r>
        <w:rPr>
          <w:rFonts w:ascii="仿宋_GB2312" w:eastAsia="仿宋_GB2312" w:hAnsi="仿宋"/>
          <w:sz w:val="32"/>
          <w:szCs w:val="32"/>
        </w:rPr>
        <w:t>万元、科学技术支出</w:t>
      </w:r>
      <w:r>
        <w:rPr>
          <w:rFonts w:ascii="仿宋_GB2312" w:eastAsia="仿宋_GB2312" w:hAnsi="仿宋" w:hint="eastAsia"/>
          <w:sz w:val="32"/>
          <w:szCs w:val="32"/>
        </w:rPr>
        <w:t xml:space="preserve"> 0</w:t>
      </w:r>
      <w:r>
        <w:rPr>
          <w:rFonts w:ascii="仿宋_GB2312" w:eastAsia="仿宋_GB2312" w:hAnsi="仿宋"/>
          <w:sz w:val="32"/>
          <w:szCs w:val="32"/>
        </w:rPr>
        <w:t>万元、社会保障和就业支出</w:t>
      </w:r>
      <w:r>
        <w:rPr>
          <w:rFonts w:ascii="仿宋_GB2312" w:eastAsia="仿宋_GB2312" w:hAnsi="仿宋" w:hint="eastAsia"/>
          <w:sz w:val="32"/>
          <w:szCs w:val="32"/>
        </w:rPr>
        <w:t xml:space="preserve"> 16.98  </w:t>
      </w:r>
      <w:r>
        <w:rPr>
          <w:rFonts w:ascii="仿宋_GB2312" w:eastAsia="仿宋_GB2312" w:hAnsi="仿宋"/>
          <w:sz w:val="32"/>
          <w:szCs w:val="32"/>
        </w:rPr>
        <w:t>万元、卫生健康支出5.</w:t>
      </w:r>
      <w:r>
        <w:rPr>
          <w:rFonts w:ascii="仿宋_GB2312" w:eastAsia="仿宋_GB2312" w:hAnsi="仿宋" w:hint="eastAsia"/>
          <w:sz w:val="32"/>
          <w:szCs w:val="32"/>
        </w:rPr>
        <w:t>31</w:t>
      </w:r>
      <w:r>
        <w:rPr>
          <w:rFonts w:ascii="仿宋_GB2312" w:eastAsia="仿宋_GB2312" w:hAnsi="仿宋"/>
          <w:sz w:val="32"/>
          <w:szCs w:val="32"/>
        </w:rPr>
        <w:t>万元、自然资源海洋气象等支出</w:t>
      </w:r>
      <w:r>
        <w:rPr>
          <w:rFonts w:ascii="仿宋_GB2312" w:eastAsia="仿宋_GB2312" w:hAnsi="仿宋"/>
          <w:sz w:val="32"/>
          <w:szCs w:val="32"/>
        </w:rPr>
        <w:t> </w:t>
      </w:r>
      <w:r>
        <w:rPr>
          <w:rFonts w:ascii="仿宋_GB2312" w:eastAsia="仿宋_GB2312" w:hAnsi="仿宋" w:hint="eastAsia"/>
          <w:sz w:val="32"/>
          <w:szCs w:val="32"/>
        </w:rPr>
        <w:t>106.34</w:t>
      </w:r>
      <w:r>
        <w:rPr>
          <w:rFonts w:ascii="仿宋_GB2312" w:eastAsia="仿宋_GB2312" w:hAnsi="仿宋"/>
          <w:sz w:val="32"/>
          <w:szCs w:val="32"/>
        </w:rPr>
        <w:t> </w:t>
      </w:r>
      <w:r>
        <w:rPr>
          <w:rFonts w:ascii="仿宋_GB2312" w:eastAsia="仿宋_GB2312" w:hAnsi="仿宋"/>
          <w:sz w:val="32"/>
          <w:szCs w:val="32"/>
        </w:rPr>
        <w:t>万元、住房保障支出</w:t>
      </w:r>
      <w:r>
        <w:rPr>
          <w:rFonts w:ascii="仿宋_GB2312" w:eastAsia="仿宋_GB2312" w:hAnsi="仿宋" w:hint="eastAsia"/>
          <w:sz w:val="32"/>
          <w:szCs w:val="32"/>
        </w:rPr>
        <w:t>8.12</w:t>
      </w:r>
      <w:r>
        <w:rPr>
          <w:rFonts w:ascii="仿宋_GB2312" w:eastAsia="仿宋_GB2312" w:hAnsi="仿宋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</w:rPr>
        <w:t>其他支出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/>
          <w:sz w:val="32"/>
          <w:szCs w:val="32"/>
        </w:rPr>
        <w:t>万元。</w:t>
      </w:r>
      <w:r>
        <w:rPr>
          <w:rFonts w:ascii="仿宋_GB2312" w:eastAsia="仿宋_GB2312" w:hAnsi="仿宋" w:hint="eastAsia"/>
          <w:sz w:val="32"/>
          <w:szCs w:val="32"/>
        </w:rPr>
        <w:t>具体安排情况如下（详见部门（单位）预算公开表4,5,6,7）：</w:t>
      </w:r>
    </w:p>
    <w:p w14:paraId="0DB5BA7B" w14:textId="77777777" w:rsidR="00000000" w:rsidRDefault="00000000">
      <w:pPr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（一）基本支出</w:t>
      </w:r>
    </w:p>
    <w:p w14:paraId="0FBFA6D3" w14:textId="77777777" w:rsidR="00000000" w:rsidRDefault="00000000">
      <w:pPr>
        <w:widowControl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2025年基本支出116.75万元，比2024年预算增加2.5万元，增长2.19%，增长的主要原因是人员基本增加</w:t>
      </w:r>
      <w:r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  <w:t>。</w:t>
      </w:r>
    </w:p>
    <w:p w14:paraId="466FB196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其中：人员经费支出 108.31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45FCA587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公用经费支出  8.44 万元，主要包括：办公费、印刷费、咨询费、手续费、水费、电费、邮电费、取暖费、物业管理费、差旅费、因公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08670450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（二）项目支出</w:t>
      </w:r>
    </w:p>
    <w:p w14:paraId="731D237D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2025年一般公共预算财政拨款项目支出预算20万元，与2024年预算</w:t>
      </w:r>
      <w:r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  <w:t>持平</w:t>
      </w: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。</w:t>
      </w:r>
    </w:p>
    <w:p w14:paraId="3FE7559E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（三）支出功能分类说明</w:t>
      </w:r>
    </w:p>
    <w:p w14:paraId="28CC54C2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645" w:lineRule="atLeast"/>
        <w:ind w:firstLine="645"/>
        <w:rPr>
          <w:rFonts w:ascii="仿宋_GB2312" w:eastAsia="仿宋_GB2312" w:hAnsi="仿宋" w:hint="eastAsia"/>
          <w:kern w:val="2"/>
          <w:sz w:val="32"/>
          <w:szCs w:val="32"/>
        </w:rPr>
      </w:pPr>
      <w:r>
        <w:rPr>
          <w:rFonts w:ascii="仿宋_GB2312" w:eastAsia="仿宋_GB2312" w:hAnsi="仿宋"/>
          <w:kern w:val="2"/>
          <w:sz w:val="32"/>
          <w:szCs w:val="32"/>
        </w:rPr>
        <w:t>1.社会保障和就业支出（ 类） 行政事业单位养老支出（ 款） 机关事业单位基本养老保险缴费支出（ 项）202</w:t>
      </w:r>
      <w:r>
        <w:rPr>
          <w:rFonts w:ascii="仿宋_GB2312" w:eastAsia="仿宋_GB2312" w:hAnsi="仿宋" w:hint="eastAsia"/>
          <w:kern w:val="2"/>
          <w:sz w:val="32"/>
          <w:szCs w:val="32"/>
        </w:rPr>
        <w:t>5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年预算数为</w:t>
      </w:r>
      <w:r>
        <w:rPr>
          <w:rFonts w:ascii="仿宋_GB2312" w:eastAsia="仿宋_GB2312" w:hAnsi="仿宋" w:hint="eastAsia"/>
          <w:kern w:val="2"/>
          <w:sz w:val="32"/>
          <w:szCs w:val="32"/>
        </w:rPr>
        <w:t>10.83</w:t>
      </w:r>
      <w:r>
        <w:rPr>
          <w:rFonts w:ascii="仿宋_GB2312" w:eastAsia="仿宋_GB2312" w:hAnsi="仿宋"/>
          <w:kern w:val="2"/>
          <w:sz w:val="32"/>
          <w:szCs w:val="32"/>
        </w:rPr>
        <w:t>万元，比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202</w:t>
      </w:r>
      <w:r>
        <w:rPr>
          <w:rFonts w:ascii="仿宋_GB2312" w:eastAsia="仿宋_GB2312" w:hAnsi="仿宋" w:hint="eastAsia"/>
          <w:kern w:val="2"/>
          <w:sz w:val="32"/>
          <w:szCs w:val="32"/>
        </w:rPr>
        <w:t>4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年预算增加</w:t>
      </w:r>
      <w:r>
        <w:rPr>
          <w:rFonts w:ascii="仿宋_GB2312" w:eastAsia="仿宋_GB2312" w:hAnsi="仿宋" w:hint="eastAsia"/>
          <w:kern w:val="2"/>
          <w:sz w:val="32"/>
          <w:szCs w:val="32"/>
        </w:rPr>
        <w:t>0.52</w:t>
      </w:r>
      <w:r>
        <w:rPr>
          <w:rFonts w:ascii="仿宋_GB2312" w:eastAsia="仿宋_GB2312" w:hAnsi="仿宋"/>
          <w:kern w:val="2"/>
          <w:sz w:val="32"/>
          <w:szCs w:val="32"/>
        </w:rPr>
        <w:t>万元，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主要原因是</w:t>
      </w:r>
      <w:r>
        <w:rPr>
          <w:rFonts w:ascii="仿宋_GB2312" w:eastAsia="仿宋_GB2312" w:hAnsi="仿宋" w:hint="eastAsia"/>
          <w:kern w:val="2"/>
          <w:sz w:val="32"/>
          <w:szCs w:val="32"/>
        </w:rPr>
        <w:t>缴费</w:t>
      </w:r>
      <w:r>
        <w:rPr>
          <w:rFonts w:ascii="仿宋_GB2312" w:eastAsia="仿宋_GB2312" w:hAnsi="仿宋"/>
          <w:kern w:val="2"/>
          <w:sz w:val="32"/>
          <w:szCs w:val="32"/>
        </w:rPr>
        <w:t>基数增加。</w:t>
      </w:r>
    </w:p>
    <w:p w14:paraId="41DC5F75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645" w:lineRule="atLeast"/>
        <w:ind w:firstLine="645"/>
        <w:rPr>
          <w:rFonts w:ascii="仿宋_GB2312" w:eastAsia="仿宋_GB2312" w:hAnsi="仿宋" w:hint="eastAsia"/>
          <w:kern w:val="2"/>
          <w:sz w:val="32"/>
          <w:szCs w:val="32"/>
        </w:rPr>
      </w:pPr>
      <w:r>
        <w:rPr>
          <w:rFonts w:ascii="仿宋_GB2312" w:eastAsia="仿宋_GB2312" w:hAnsi="仿宋"/>
          <w:kern w:val="2"/>
          <w:sz w:val="32"/>
          <w:szCs w:val="32"/>
        </w:rPr>
        <w:t>2.社会保障和就业支出（ 类） 行政事业单位养老支出（ 款） 机关事业单位职业年金缴费支出（ 项）202</w:t>
      </w:r>
      <w:r>
        <w:rPr>
          <w:rFonts w:ascii="仿宋_GB2312" w:eastAsia="仿宋_GB2312" w:hAnsi="仿宋" w:hint="eastAsia"/>
          <w:kern w:val="2"/>
          <w:sz w:val="32"/>
          <w:szCs w:val="32"/>
        </w:rPr>
        <w:t>5</w:t>
      </w:r>
      <w:r>
        <w:rPr>
          <w:rFonts w:ascii="仿宋_GB2312" w:eastAsia="仿宋_GB2312" w:hAnsi="仿宋"/>
          <w:kern w:val="2"/>
          <w:sz w:val="32"/>
          <w:szCs w:val="32"/>
        </w:rPr>
        <w:t>年预算数为5.</w:t>
      </w:r>
      <w:r>
        <w:rPr>
          <w:rFonts w:ascii="仿宋_GB2312" w:eastAsia="仿宋_GB2312" w:hAnsi="仿宋" w:hint="eastAsia"/>
          <w:kern w:val="2"/>
          <w:sz w:val="32"/>
          <w:szCs w:val="32"/>
        </w:rPr>
        <w:t>41</w:t>
      </w:r>
      <w:r>
        <w:rPr>
          <w:rFonts w:ascii="仿宋_GB2312" w:eastAsia="仿宋_GB2312" w:hAnsi="仿宋"/>
          <w:kern w:val="2"/>
          <w:sz w:val="32"/>
          <w:szCs w:val="32"/>
        </w:rPr>
        <w:t>万元，比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202</w:t>
      </w:r>
      <w:r>
        <w:rPr>
          <w:rFonts w:ascii="仿宋_GB2312" w:eastAsia="仿宋_GB2312" w:hAnsi="仿宋" w:hint="eastAsia"/>
          <w:kern w:val="2"/>
          <w:sz w:val="32"/>
          <w:szCs w:val="32"/>
        </w:rPr>
        <w:t>4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年预算增</w:t>
      </w:r>
      <w:r>
        <w:rPr>
          <w:rFonts w:ascii="仿宋_GB2312" w:eastAsia="仿宋_GB2312" w:hAnsi="仿宋" w:hint="eastAsia"/>
          <w:kern w:val="2"/>
          <w:sz w:val="32"/>
          <w:szCs w:val="32"/>
        </w:rPr>
        <w:t>0.26</w:t>
      </w:r>
      <w:r>
        <w:rPr>
          <w:rFonts w:ascii="仿宋_GB2312" w:eastAsia="仿宋_GB2312" w:hAnsi="仿宋"/>
          <w:kern w:val="2"/>
          <w:sz w:val="32"/>
          <w:szCs w:val="32"/>
        </w:rPr>
        <w:t>万元，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主要原因是</w:t>
      </w:r>
      <w:r>
        <w:rPr>
          <w:rFonts w:ascii="仿宋_GB2312" w:eastAsia="仿宋_GB2312" w:hAnsi="仿宋" w:hint="eastAsia"/>
          <w:kern w:val="2"/>
          <w:sz w:val="32"/>
          <w:szCs w:val="32"/>
        </w:rPr>
        <w:t>缴费</w:t>
      </w:r>
      <w:r>
        <w:rPr>
          <w:rFonts w:ascii="仿宋_GB2312" w:eastAsia="仿宋_GB2312" w:hAnsi="仿宋"/>
          <w:kern w:val="2"/>
          <w:sz w:val="32"/>
          <w:szCs w:val="32"/>
        </w:rPr>
        <w:t>基数增加</w:t>
      </w:r>
      <w:r>
        <w:rPr>
          <w:rFonts w:ascii="仿宋_GB2312" w:eastAsia="仿宋_GB2312" w:hAnsi="仿宋" w:hint="eastAsia"/>
          <w:kern w:val="2"/>
          <w:sz w:val="32"/>
          <w:szCs w:val="32"/>
        </w:rPr>
        <w:t>。</w:t>
      </w:r>
    </w:p>
    <w:p w14:paraId="3E46E232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645" w:lineRule="atLeast"/>
        <w:ind w:firstLine="645"/>
        <w:rPr>
          <w:rFonts w:ascii="仿宋_GB2312" w:eastAsia="仿宋_GB2312" w:hAnsi="仿宋" w:hint="eastAsia"/>
          <w:kern w:val="2"/>
          <w:sz w:val="32"/>
          <w:szCs w:val="32"/>
        </w:rPr>
      </w:pPr>
      <w:r>
        <w:rPr>
          <w:rFonts w:ascii="仿宋_GB2312" w:eastAsia="仿宋_GB2312" w:hAnsi="仿宋"/>
          <w:kern w:val="2"/>
          <w:sz w:val="32"/>
          <w:szCs w:val="32"/>
        </w:rPr>
        <w:t>3.社会保障和就业支出（ 类） 其他社会保障和就业支出（ 款） 其他社会保障和就业支出（ 项）202</w:t>
      </w:r>
      <w:r>
        <w:rPr>
          <w:rFonts w:ascii="仿宋_GB2312" w:eastAsia="仿宋_GB2312" w:hAnsi="仿宋" w:hint="eastAsia"/>
          <w:kern w:val="2"/>
          <w:sz w:val="32"/>
          <w:szCs w:val="32"/>
        </w:rPr>
        <w:t>5</w:t>
      </w:r>
      <w:r>
        <w:rPr>
          <w:rFonts w:ascii="仿宋_GB2312" w:eastAsia="仿宋_GB2312" w:hAnsi="仿宋"/>
          <w:kern w:val="2"/>
          <w:sz w:val="32"/>
          <w:szCs w:val="32"/>
        </w:rPr>
        <w:t>年预算数为0.7</w:t>
      </w:r>
      <w:r>
        <w:rPr>
          <w:rFonts w:ascii="仿宋_GB2312" w:eastAsia="仿宋_GB2312" w:hAnsi="仿宋" w:hint="eastAsia"/>
          <w:kern w:val="2"/>
          <w:sz w:val="32"/>
          <w:szCs w:val="32"/>
        </w:rPr>
        <w:t>4</w:t>
      </w:r>
      <w:r>
        <w:rPr>
          <w:rFonts w:ascii="仿宋_GB2312" w:eastAsia="仿宋_GB2312" w:hAnsi="仿宋"/>
          <w:kern w:val="2"/>
          <w:sz w:val="32"/>
          <w:szCs w:val="32"/>
        </w:rPr>
        <w:t>万元，比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202</w:t>
      </w:r>
      <w:r>
        <w:rPr>
          <w:rFonts w:ascii="仿宋_GB2312" w:eastAsia="仿宋_GB2312" w:hAnsi="仿宋" w:hint="eastAsia"/>
          <w:kern w:val="2"/>
          <w:sz w:val="32"/>
          <w:szCs w:val="32"/>
        </w:rPr>
        <w:t>4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年预算增加0.</w:t>
      </w:r>
      <w:r>
        <w:rPr>
          <w:rFonts w:ascii="仿宋_GB2312" w:eastAsia="仿宋_GB2312" w:hAnsi="仿宋" w:hint="eastAsia"/>
          <w:kern w:val="2"/>
          <w:sz w:val="32"/>
          <w:szCs w:val="32"/>
        </w:rPr>
        <w:t>03</w:t>
      </w:r>
      <w:r>
        <w:rPr>
          <w:rFonts w:ascii="仿宋_GB2312" w:eastAsia="仿宋_GB2312" w:hAnsi="仿宋"/>
          <w:kern w:val="2"/>
          <w:sz w:val="32"/>
          <w:szCs w:val="32"/>
        </w:rPr>
        <w:t>万元，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主要原因是</w:t>
      </w:r>
      <w:r>
        <w:rPr>
          <w:rFonts w:ascii="仿宋_GB2312" w:eastAsia="仿宋_GB2312" w:hAnsi="仿宋" w:hint="eastAsia"/>
          <w:kern w:val="2"/>
          <w:sz w:val="32"/>
          <w:szCs w:val="32"/>
        </w:rPr>
        <w:t>缴费</w:t>
      </w:r>
      <w:r>
        <w:rPr>
          <w:rFonts w:ascii="仿宋_GB2312" w:eastAsia="仿宋_GB2312" w:hAnsi="仿宋"/>
          <w:kern w:val="2"/>
          <w:sz w:val="32"/>
          <w:szCs w:val="32"/>
        </w:rPr>
        <w:t>基数增加。</w:t>
      </w:r>
    </w:p>
    <w:p w14:paraId="40607813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645" w:lineRule="atLeast"/>
        <w:ind w:firstLine="645"/>
        <w:rPr>
          <w:rFonts w:ascii="仿宋_GB2312" w:eastAsia="仿宋_GB2312" w:hAnsi="仿宋" w:hint="eastAsia"/>
          <w:kern w:val="2"/>
          <w:sz w:val="32"/>
          <w:szCs w:val="32"/>
        </w:rPr>
      </w:pPr>
      <w:r>
        <w:rPr>
          <w:rFonts w:ascii="仿宋_GB2312" w:eastAsia="仿宋_GB2312" w:hAnsi="仿宋"/>
          <w:kern w:val="2"/>
          <w:sz w:val="32"/>
          <w:szCs w:val="32"/>
        </w:rPr>
        <w:t>4.卫生健康支出（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类）行政事业单位医疗（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款）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行政单位医疗（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项）202</w:t>
      </w:r>
      <w:r>
        <w:rPr>
          <w:rFonts w:ascii="仿宋_GB2312" w:eastAsia="仿宋_GB2312" w:hAnsi="仿宋" w:hint="eastAsia"/>
          <w:kern w:val="2"/>
          <w:sz w:val="32"/>
          <w:szCs w:val="32"/>
        </w:rPr>
        <w:t>5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年预算数为</w:t>
      </w:r>
      <w:r>
        <w:rPr>
          <w:rFonts w:ascii="仿宋_GB2312" w:eastAsia="仿宋_GB2312" w:hAnsi="仿宋" w:hint="eastAsia"/>
          <w:kern w:val="2"/>
          <w:sz w:val="32"/>
          <w:szCs w:val="32"/>
        </w:rPr>
        <w:t>5.31</w:t>
      </w:r>
      <w:r>
        <w:rPr>
          <w:rFonts w:ascii="仿宋_GB2312" w:eastAsia="仿宋_GB2312" w:hAnsi="仿宋"/>
          <w:kern w:val="2"/>
          <w:sz w:val="32"/>
          <w:szCs w:val="32"/>
        </w:rPr>
        <w:t>万元，比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202</w:t>
      </w:r>
      <w:r>
        <w:rPr>
          <w:rFonts w:ascii="仿宋_GB2312" w:eastAsia="仿宋_GB2312" w:hAnsi="仿宋" w:hint="eastAsia"/>
          <w:kern w:val="2"/>
          <w:sz w:val="32"/>
          <w:szCs w:val="32"/>
        </w:rPr>
        <w:t>4</w:t>
      </w:r>
      <w:r>
        <w:rPr>
          <w:rFonts w:ascii="仿宋_GB2312" w:eastAsia="仿宋_GB2312" w:hAnsi="仿宋"/>
          <w:kern w:val="2"/>
          <w:sz w:val="32"/>
          <w:szCs w:val="32"/>
        </w:rPr>
        <w:t>年预算增加0.</w:t>
      </w:r>
      <w:r>
        <w:rPr>
          <w:rFonts w:ascii="仿宋_GB2312" w:eastAsia="仿宋_GB2312" w:hAnsi="仿宋" w:hint="eastAsia"/>
          <w:kern w:val="2"/>
          <w:sz w:val="32"/>
          <w:szCs w:val="32"/>
        </w:rPr>
        <w:t>04</w:t>
      </w:r>
      <w:r>
        <w:rPr>
          <w:rFonts w:ascii="仿宋_GB2312" w:eastAsia="仿宋_GB2312" w:hAnsi="仿宋"/>
          <w:kern w:val="2"/>
          <w:sz w:val="32"/>
          <w:szCs w:val="32"/>
        </w:rPr>
        <w:t>万元，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主要原因是</w:t>
      </w:r>
      <w:r>
        <w:rPr>
          <w:rFonts w:ascii="仿宋_GB2312" w:eastAsia="仿宋_GB2312" w:hAnsi="仿宋" w:hint="eastAsia"/>
          <w:kern w:val="2"/>
          <w:sz w:val="32"/>
          <w:szCs w:val="32"/>
        </w:rPr>
        <w:t>缴费</w:t>
      </w:r>
      <w:r>
        <w:rPr>
          <w:rFonts w:ascii="仿宋_GB2312" w:eastAsia="仿宋_GB2312" w:hAnsi="仿宋"/>
          <w:kern w:val="2"/>
          <w:sz w:val="32"/>
          <w:szCs w:val="32"/>
        </w:rPr>
        <w:t>基数增加。</w:t>
      </w:r>
    </w:p>
    <w:p w14:paraId="4FEB378F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645" w:lineRule="atLeast"/>
        <w:ind w:firstLine="645"/>
        <w:rPr>
          <w:rFonts w:ascii="仿宋_GB2312" w:eastAsia="仿宋_GB2312" w:hAnsi="仿宋" w:hint="eastAsia"/>
          <w:kern w:val="2"/>
          <w:sz w:val="32"/>
          <w:szCs w:val="32"/>
        </w:rPr>
      </w:pPr>
      <w:r>
        <w:rPr>
          <w:rFonts w:ascii="仿宋_GB2312" w:eastAsia="仿宋_GB2312" w:hAnsi="仿宋"/>
          <w:kern w:val="2"/>
          <w:sz w:val="32"/>
          <w:szCs w:val="32"/>
        </w:rPr>
        <w:lastRenderedPageBreak/>
        <w:t>5.自然资源海洋气象等支出（ 类）自然资源事务（ 款） 一般行政管理事务（ 项）202</w:t>
      </w:r>
      <w:r>
        <w:rPr>
          <w:rFonts w:ascii="仿宋_GB2312" w:eastAsia="仿宋_GB2312" w:hAnsi="仿宋" w:hint="eastAsia"/>
          <w:kern w:val="2"/>
          <w:sz w:val="32"/>
          <w:szCs w:val="32"/>
        </w:rPr>
        <w:t>5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年预算数为</w:t>
      </w:r>
      <w:r>
        <w:rPr>
          <w:rFonts w:ascii="仿宋_GB2312" w:eastAsia="仿宋_GB2312" w:hAnsi="仿宋" w:hint="eastAsia"/>
          <w:kern w:val="2"/>
          <w:sz w:val="32"/>
          <w:szCs w:val="32"/>
        </w:rPr>
        <w:t>106.34</w:t>
      </w:r>
      <w:r>
        <w:rPr>
          <w:rFonts w:ascii="仿宋_GB2312" w:eastAsia="仿宋_GB2312" w:hAnsi="仿宋"/>
          <w:kern w:val="2"/>
          <w:sz w:val="32"/>
          <w:szCs w:val="32"/>
        </w:rPr>
        <w:t>万元，比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202</w:t>
      </w:r>
      <w:r>
        <w:rPr>
          <w:rFonts w:ascii="仿宋_GB2312" w:eastAsia="仿宋_GB2312" w:hAnsi="仿宋" w:hint="eastAsia"/>
          <w:kern w:val="2"/>
          <w:sz w:val="32"/>
          <w:szCs w:val="32"/>
        </w:rPr>
        <w:t>4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年预算增加</w:t>
      </w:r>
      <w:r>
        <w:rPr>
          <w:rFonts w:ascii="仿宋_GB2312" w:eastAsia="仿宋_GB2312" w:hAnsi="仿宋" w:hint="eastAsia"/>
          <w:kern w:val="2"/>
          <w:sz w:val="32"/>
          <w:szCs w:val="32"/>
        </w:rPr>
        <w:t>1.26</w:t>
      </w:r>
      <w:r>
        <w:rPr>
          <w:rFonts w:ascii="仿宋_GB2312" w:eastAsia="仿宋_GB2312" w:hAnsi="仿宋"/>
          <w:kern w:val="2"/>
          <w:sz w:val="32"/>
          <w:szCs w:val="32"/>
        </w:rPr>
        <w:t>万元，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主要原因是</w:t>
      </w:r>
      <w:r>
        <w:rPr>
          <w:rFonts w:ascii="仿宋_GB2312" w:eastAsia="仿宋_GB2312" w:hAnsi="仿宋" w:hint="eastAsia"/>
          <w:kern w:val="2"/>
          <w:sz w:val="32"/>
          <w:szCs w:val="32"/>
        </w:rPr>
        <w:t>财政</w:t>
      </w:r>
      <w:r>
        <w:rPr>
          <w:rFonts w:ascii="仿宋_GB2312" w:eastAsia="仿宋_GB2312" w:hAnsi="仿宋"/>
          <w:kern w:val="2"/>
          <w:sz w:val="32"/>
          <w:szCs w:val="32"/>
        </w:rPr>
        <w:t>预算增加。</w:t>
      </w:r>
    </w:p>
    <w:p w14:paraId="0DBF4DCE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645" w:lineRule="atLeast"/>
        <w:ind w:firstLine="645"/>
        <w:rPr>
          <w:rFonts w:ascii="仿宋_GB2312" w:eastAsia="仿宋_GB2312" w:hAnsi="仿宋" w:hint="eastAsia"/>
          <w:kern w:val="2"/>
          <w:sz w:val="32"/>
          <w:szCs w:val="32"/>
        </w:rPr>
      </w:pPr>
      <w:r>
        <w:rPr>
          <w:rFonts w:ascii="仿宋_GB2312" w:eastAsia="仿宋_GB2312" w:hAnsi="仿宋" w:hint="eastAsia"/>
          <w:kern w:val="2"/>
          <w:sz w:val="32"/>
          <w:szCs w:val="32"/>
        </w:rPr>
        <w:t>6</w:t>
      </w:r>
      <w:r>
        <w:rPr>
          <w:rFonts w:ascii="仿宋_GB2312" w:eastAsia="仿宋_GB2312" w:hAnsi="仿宋"/>
          <w:kern w:val="2"/>
          <w:sz w:val="32"/>
          <w:szCs w:val="32"/>
        </w:rPr>
        <w:t>.住房保障支出（ 类） 住房改革支出（ 款） 住房公积金（ 项）202</w:t>
      </w:r>
      <w:r>
        <w:rPr>
          <w:rFonts w:ascii="仿宋_GB2312" w:eastAsia="仿宋_GB2312" w:hAnsi="仿宋" w:hint="eastAsia"/>
          <w:kern w:val="2"/>
          <w:sz w:val="32"/>
          <w:szCs w:val="32"/>
        </w:rPr>
        <w:t>5</w:t>
      </w:r>
      <w:r>
        <w:rPr>
          <w:rFonts w:ascii="仿宋_GB2312" w:eastAsia="仿宋_GB2312" w:hAnsi="仿宋"/>
          <w:kern w:val="2"/>
          <w:sz w:val="32"/>
          <w:szCs w:val="32"/>
        </w:rPr>
        <w:t>年预算数为</w:t>
      </w:r>
      <w:r>
        <w:rPr>
          <w:rFonts w:ascii="仿宋_GB2312" w:eastAsia="仿宋_GB2312" w:hAnsi="仿宋" w:hint="eastAsia"/>
          <w:kern w:val="2"/>
          <w:sz w:val="32"/>
          <w:szCs w:val="32"/>
        </w:rPr>
        <w:t>8.12</w:t>
      </w:r>
      <w:r>
        <w:rPr>
          <w:rFonts w:ascii="仿宋_GB2312" w:eastAsia="仿宋_GB2312" w:hAnsi="仿宋"/>
          <w:kern w:val="2"/>
          <w:sz w:val="32"/>
          <w:szCs w:val="32"/>
        </w:rPr>
        <w:t>万元，比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202</w:t>
      </w:r>
      <w:r>
        <w:rPr>
          <w:rFonts w:ascii="仿宋_GB2312" w:eastAsia="仿宋_GB2312" w:hAnsi="仿宋" w:hint="eastAsia"/>
          <w:kern w:val="2"/>
          <w:sz w:val="32"/>
          <w:szCs w:val="32"/>
        </w:rPr>
        <w:t>4</w:t>
      </w:r>
      <w:r>
        <w:rPr>
          <w:rFonts w:ascii="仿宋_GB2312" w:eastAsia="仿宋_GB2312" w:hAnsi="仿宋"/>
          <w:kern w:val="2"/>
          <w:sz w:val="32"/>
          <w:szCs w:val="32"/>
        </w:rPr>
        <w:t>年预算增加</w:t>
      </w:r>
      <w:r>
        <w:rPr>
          <w:rFonts w:ascii="仿宋_GB2312" w:eastAsia="仿宋_GB2312" w:hAnsi="仿宋" w:hint="eastAsia"/>
          <w:kern w:val="2"/>
          <w:sz w:val="32"/>
          <w:szCs w:val="32"/>
        </w:rPr>
        <w:t>0.39</w:t>
      </w:r>
      <w:r>
        <w:rPr>
          <w:rFonts w:ascii="仿宋_GB2312" w:eastAsia="仿宋_GB2312" w:hAnsi="仿宋"/>
          <w:kern w:val="2"/>
          <w:sz w:val="32"/>
          <w:szCs w:val="32"/>
        </w:rPr>
        <w:t>万元，</w:t>
      </w:r>
      <w:r>
        <w:rPr>
          <w:rFonts w:ascii="仿宋_GB2312" w:eastAsia="仿宋_GB2312" w:hAnsi="仿宋"/>
          <w:kern w:val="2"/>
          <w:sz w:val="32"/>
          <w:szCs w:val="32"/>
        </w:rPr>
        <w:t> </w:t>
      </w:r>
      <w:r>
        <w:rPr>
          <w:rFonts w:ascii="仿宋_GB2312" w:eastAsia="仿宋_GB2312" w:hAnsi="仿宋"/>
          <w:kern w:val="2"/>
          <w:sz w:val="32"/>
          <w:szCs w:val="32"/>
        </w:rPr>
        <w:t>主要原因是</w:t>
      </w:r>
      <w:r>
        <w:rPr>
          <w:rFonts w:ascii="仿宋_GB2312" w:eastAsia="仿宋_GB2312" w:hAnsi="仿宋" w:hint="eastAsia"/>
          <w:kern w:val="2"/>
          <w:sz w:val="32"/>
          <w:szCs w:val="32"/>
        </w:rPr>
        <w:t>缴费</w:t>
      </w:r>
      <w:r>
        <w:rPr>
          <w:rFonts w:ascii="仿宋_GB2312" w:eastAsia="仿宋_GB2312" w:hAnsi="仿宋"/>
          <w:kern w:val="2"/>
          <w:sz w:val="32"/>
          <w:szCs w:val="32"/>
        </w:rPr>
        <w:t>基数增加。</w:t>
      </w:r>
    </w:p>
    <w:p w14:paraId="7F189E0A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6E73ED66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（一）“三公”经费情况说明</w:t>
      </w:r>
    </w:p>
    <w:p w14:paraId="70676759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645" w:lineRule="atLeast"/>
        <w:ind w:firstLineChars="200" w:firstLine="640"/>
        <w:rPr>
          <w:rFonts w:ascii="仿宋_GB2312" w:eastAsia="仿宋_GB2312" w:hAnsi="仿宋" w:hint="eastAsia"/>
          <w:kern w:val="2"/>
          <w:sz w:val="32"/>
          <w:szCs w:val="32"/>
        </w:rPr>
      </w:pPr>
      <w:r>
        <w:rPr>
          <w:rFonts w:ascii="仿宋_GB2312" w:eastAsia="仿宋_GB2312" w:hAnsi="仿宋"/>
          <w:kern w:val="2"/>
          <w:sz w:val="32"/>
          <w:szCs w:val="32"/>
        </w:rPr>
        <w:t>202</w:t>
      </w:r>
      <w:r>
        <w:rPr>
          <w:rFonts w:ascii="仿宋_GB2312" w:eastAsia="仿宋_GB2312" w:hAnsi="仿宋" w:hint="eastAsia"/>
          <w:kern w:val="2"/>
          <w:sz w:val="32"/>
          <w:szCs w:val="32"/>
        </w:rPr>
        <w:t>5</w:t>
      </w:r>
      <w:r>
        <w:rPr>
          <w:rFonts w:ascii="仿宋_GB2312" w:eastAsia="仿宋_GB2312" w:hAnsi="仿宋"/>
          <w:kern w:val="2"/>
          <w:sz w:val="32"/>
          <w:szCs w:val="32"/>
        </w:rPr>
        <w:t>年度未安排</w:t>
      </w:r>
      <w:r>
        <w:rPr>
          <w:rFonts w:ascii="仿宋_GB2312" w:eastAsia="仿宋_GB2312" w:hAnsi="仿宋"/>
          <w:kern w:val="2"/>
          <w:sz w:val="32"/>
          <w:szCs w:val="32"/>
        </w:rPr>
        <w:t>“</w:t>
      </w:r>
      <w:r>
        <w:rPr>
          <w:rFonts w:ascii="仿宋_GB2312" w:eastAsia="仿宋_GB2312" w:hAnsi="仿宋"/>
          <w:kern w:val="2"/>
          <w:sz w:val="32"/>
          <w:szCs w:val="32"/>
        </w:rPr>
        <w:t>三公</w:t>
      </w:r>
      <w:r>
        <w:rPr>
          <w:rFonts w:ascii="仿宋_GB2312" w:eastAsia="仿宋_GB2312" w:hAnsi="仿宋"/>
          <w:kern w:val="2"/>
          <w:sz w:val="32"/>
          <w:szCs w:val="32"/>
        </w:rPr>
        <w:t>”</w:t>
      </w:r>
      <w:r>
        <w:rPr>
          <w:rFonts w:ascii="仿宋_GB2312" w:eastAsia="仿宋_GB2312" w:hAnsi="仿宋"/>
          <w:kern w:val="2"/>
          <w:sz w:val="32"/>
          <w:szCs w:val="32"/>
        </w:rPr>
        <w:t>经费预算。</w:t>
      </w:r>
    </w:p>
    <w:p w14:paraId="49F4C6EE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（二）培训费预算情况说明</w:t>
      </w:r>
    </w:p>
    <w:p w14:paraId="4E806D34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645" w:lineRule="atLeast"/>
        <w:ind w:firstLineChars="200" w:firstLine="640"/>
        <w:rPr>
          <w:rFonts w:ascii="仿宋_GB2312" w:eastAsia="仿宋_GB2312" w:hAnsi="仿宋" w:hint="eastAsia"/>
          <w:kern w:val="2"/>
          <w:sz w:val="32"/>
          <w:szCs w:val="32"/>
        </w:rPr>
      </w:pPr>
      <w:r>
        <w:rPr>
          <w:rFonts w:ascii="仿宋_GB2312" w:eastAsia="仿宋_GB2312" w:hAnsi="仿宋"/>
          <w:kern w:val="2"/>
          <w:sz w:val="32"/>
          <w:szCs w:val="32"/>
        </w:rPr>
        <w:t>202</w:t>
      </w:r>
      <w:r>
        <w:rPr>
          <w:rFonts w:ascii="仿宋_GB2312" w:eastAsia="仿宋_GB2312" w:hAnsi="仿宋" w:hint="eastAsia"/>
          <w:kern w:val="2"/>
          <w:sz w:val="32"/>
          <w:szCs w:val="32"/>
        </w:rPr>
        <w:t>5</w:t>
      </w:r>
      <w:r>
        <w:rPr>
          <w:rFonts w:ascii="仿宋_GB2312" w:eastAsia="仿宋_GB2312" w:hAnsi="仿宋"/>
          <w:kern w:val="2"/>
          <w:sz w:val="32"/>
          <w:szCs w:val="32"/>
        </w:rPr>
        <w:t>年度未安排培训费预算。</w:t>
      </w:r>
    </w:p>
    <w:p w14:paraId="2FEA4E71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（三）会议费预算情况说明</w:t>
      </w:r>
    </w:p>
    <w:p w14:paraId="4AD003C4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645" w:lineRule="atLeast"/>
        <w:ind w:firstLineChars="200" w:firstLine="640"/>
        <w:rPr>
          <w:rFonts w:ascii="仿宋_GB2312" w:eastAsia="仿宋_GB2312" w:hAnsi="仿宋" w:hint="eastAsia"/>
          <w:kern w:val="2"/>
          <w:sz w:val="32"/>
          <w:szCs w:val="32"/>
        </w:rPr>
      </w:pPr>
      <w:r>
        <w:rPr>
          <w:rFonts w:ascii="仿宋_GB2312" w:eastAsia="仿宋_GB2312" w:hAnsi="仿宋"/>
          <w:kern w:val="2"/>
          <w:sz w:val="32"/>
          <w:szCs w:val="32"/>
        </w:rPr>
        <w:t>202</w:t>
      </w:r>
      <w:r>
        <w:rPr>
          <w:rFonts w:ascii="仿宋_GB2312" w:eastAsia="仿宋_GB2312" w:hAnsi="仿宋" w:hint="eastAsia"/>
          <w:kern w:val="2"/>
          <w:sz w:val="32"/>
          <w:szCs w:val="32"/>
        </w:rPr>
        <w:t>5</w:t>
      </w:r>
      <w:r>
        <w:rPr>
          <w:rFonts w:ascii="仿宋_GB2312" w:eastAsia="仿宋_GB2312" w:hAnsi="仿宋"/>
          <w:kern w:val="2"/>
          <w:sz w:val="32"/>
          <w:szCs w:val="32"/>
        </w:rPr>
        <w:t>年度未安排会议费预算。</w:t>
      </w:r>
    </w:p>
    <w:p w14:paraId="292D5151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六、一般公共预算财政拨款机关运行经费情况</w:t>
      </w:r>
    </w:p>
    <w:p w14:paraId="4A956578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/>
          <w:sz w:val="32"/>
          <w:szCs w:val="32"/>
        </w:rPr>
        <w:t>年度未安排机关运行经费预算。</w:t>
      </w:r>
    </w:p>
    <w:p w14:paraId="60628CA6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七、政府采购安排情况</w:t>
      </w:r>
    </w:p>
    <w:p w14:paraId="3FBAB743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2025年，部门（单位）政府采购预算总额  1.88  万元，其中：政府采购货物预算 1.88 万元，政府采购工程预算 0 万元，政府采购服务预算 0万元。</w:t>
      </w:r>
    </w:p>
    <w:p w14:paraId="791561F3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2025年，部门（单位）面向中小企业预留政府采购项目预算金额  万元，小微企业预留政府采购项目预算金额 0 万元。</w:t>
      </w:r>
    </w:p>
    <w:p w14:paraId="445B9499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八、国有资产占用情况</w:t>
      </w:r>
    </w:p>
    <w:p w14:paraId="08608C06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上年末固定资产金额为 </w:t>
      </w:r>
      <w:r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  <w:t>141.1092</w:t>
      </w:r>
      <w:r>
        <w:rPr>
          <w:rFonts w:ascii="仿宋_GB2312" w:eastAsia="仿宋_GB2312" w:hAnsi="仿宋" w:hint="eastAsia"/>
          <w:sz w:val="32"/>
          <w:szCs w:val="32"/>
        </w:rPr>
        <w:t xml:space="preserve"> 万元。其中：办公用房 0 平方米，价值 0 万元。预算单位共有公务用车 0 辆，价值 0 万元。单价20万元以上的设备价值 0万元。2025年拟采购固定资产约 0 万元。</w:t>
      </w:r>
    </w:p>
    <w:p w14:paraId="7AE87EDE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九、其他重要事项情况说明</w:t>
      </w:r>
    </w:p>
    <w:p w14:paraId="44580FCC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（一）政府性基金预算支出情况</w:t>
      </w:r>
    </w:p>
    <w:p w14:paraId="0162D669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645" w:lineRule="atLeast"/>
        <w:ind w:firstLine="645"/>
        <w:rPr>
          <w:rFonts w:ascii="微软雅黑" w:eastAsia="微软雅黑" w:hAnsi="微软雅黑" w:cs="微软雅黑" w:hint="eastAsia"/>
          <w:color w:val="333333"/>
          <w:szCs w:val="24"/>
        </w:rPr>
      </w:pPr>
      <w:r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  <w:t>202</w:t>
      </w: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5</w:t>
      </w:r>
      <w:r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  <w:t>年我单位政府性基金预算拨款支出未安排预算，政府性基金预算支出情况表为空表。</w:t>
      </w:r>
    </w:p>
    <w:p w14:paraId="47C830B1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（二）非税收入情况</w:t>
      </w:r>
    </w:p>
    <w:p w14:paraId="6600D921" w14:textId="77777777" w:rsidR="00000000" w:rsidRDefault="00000000">
      <w:pPr>
        <w:adjustRightInd w:val="0"/>
        <w:snapToGrid w:val="0"/>
        <w:spacing w:line="640" w:lineRule="exact"/>
        <w:ind w:firstLineChars="200" w:firstLine="620"/>
        <w:contextualSpacing/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  <w:t>我单位202</w:t>
      </w: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5</w:t>
      </w:r>
      <w:r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  <w:t>年无非税收入。</w:t>
      </w:r>
    </w:p>
    <w:p w14:paraId="4996C2B2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（三）重点项目情况</w:t>
      </w:r>
    </w:p>
    <w:p w14:paraId="37B7FC3C" w14:textId="77777777" w:rsidR="00000000" w:rsidRDefault="00000000">
      <w:pPr>
        <w:widowControl/>
        <w:adjustRightInd w:val="0"/>
        <w:snapToGrid w:val="0"/>
        <w:spacing w:line="640" w:lineRule="exact"/>
        <w:ind w:firstLineChars="300" w:firstLine="96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2025本单位年初预算未安排项目支出，无重点项目说明。</w:t>
      </w:r>
    </w:p>
    <w:p w14:paraId="28544DE9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（四）部门管理转移支付情况</w:t>
      </w:r>
    </w:p>
    <w:p w14:paraId="453D9B64" w14:textId="77777777" w:rsidR="00000000" w:rsidRDefault="00000000">
      <w:pPr>
        <w:widowControl/>
        <w:adjustRightInd w:val="0"/>
        <w:snapToGrid w:val="0"/>
        <w:spacing w:line="640" w:lineRule="exact"/>
        <w:ind w:firstLineChars="300" w:firstLine="96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2025未安排预算，我单位管理转移支付表为空表。</w:t>
      </w:r>
    </w:p>
    <w:p w14:paraId="677F2A8F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（五）国有资本经营预算支出情况</w:t>
      </w:r>
    </w:p>
    <w:p w14:paraId="1490AAFC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lastRenderedPageBreak/>
        <w:t>2025年我单位未安排预算，国有资本经营预算支出情况表为空表。</w:t>
      </w:r>
    </w:p>
    <w:p w14:paraId="0CFC42C4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十、预算绩效管理情况</w:t>
      </w:r>
    </w:p>
    <w:p w14:paraId="449A1C0A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（一）2024年预算绩效管理工作情况。</w:t>
      </w:r>
    </w:p>
    <w:p w14:paraId="6732865E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1859C314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1.绩效目标管理情况。</w:t>
      </w:r>
      <w:r>
        <w:rPr>
          <w:rFonts w:ascii="仿宋_GB2312" w:eastAsia="仿宋_GB2312" w:hAnsi="仿宋" w:hint="eastAsia"/>
          <w:sz w:val="32"/>
          <w:szCs w:val="32"/>
        </w:rPr>
        <w:t>2024年度，按照“谁申请资金，谁设置目标”的原则，纳入部门预算管理的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整体支出和项目绩效目标 3个，按规定随年度预算一并公开项目3个，公开率为100%。</w:t>
      </w:r>
    </w:p>
    <w:p w14:paraId="469DA491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2.绩效运行监控情况。</w:t>
      </w:r>
      <w:r>
        <w:rPr>
          <w:rFonts w:ascii="仿宋_GB2312" w:eastAsia="仿宋_GB2312" w:hAnsi="仿宋" w:hint="eastAsia"/>
          <w:sz w:val="32"/>
          <w:szCs w:val="32"/>
        </w:rPr>
        <w:t>2024年7月，组织开展1-6月绩效运行监控项目3个，占本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项目的100 %。截至7月底，如期完成预算执行和绩效目标指标值的项目3个，完成率100 %。开展1-9月绩效运行监控项目3个，占本部门（单位）项目的100%。截至10月底，如期完成预算执行和绩效目标指标值的项目3个，完成率100 %。</w:t>
      </w:r>
    </w:p>
    <w:p w14:paraId="28BF2166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3.绩效自评开展情况。</w:t>
      </w:r>
      <w:r>
        <w:rPr>
          <w:rFonts w:ascii="仿宋_GB2312" w:eastAsia="仿宋_GB2312" w:hAnsi="仿宋" w:hint="eastAsia"/>
          <w:sz w:val="32"/>
          <w:szCs w:val="32"/>
        </w:rPr>
        <w:t>2024年度，组织开展绩效自评项目共 3 个，其中，单位整体支出1个，项目支出 2个，转移支付项目 0个，绩效自评覆盖率为 100 %。绩效自评结果随部门决算报送财政和随决算公开已公开。</w:t>
      </w:r>
    </w:p>
    <w:p w14:paraId="47710DE9" w14:textId="77777777" w:rsidR="00000000" w:rsidRDefault="00000000">
      <w:pPr>
        <w:pStyle w:val="ab"/>
        <w:widowControl/>
        <w:shd w:val="clear" w:color="auto" w:fill="FFFFFF"/>
        <w:spacing w:before="0" w:beforeAutospacing="0" w:after="300" w:afterAutospacing="0" w:line="645" w:lineRule="atLeast"/>
        <w:ind w:firstLine="645"/>
        <w:rPr>
          <w:rFonts w:ascii="微软雅黑" w:eastAsia="微软雅黑" w:hAnsi="微软雅黑" w:cs="微软雅黑" w:hint="eastAsia"/>
          <w:color w:val="333333"/>
          <w:szCs w:val="24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4.绩效结果应用情况。</w:t>
      </w:r>
      <w:r>
        <w:rPr>
          <w:rFonts w:ascii="仿宋_GB2312" w:eastAsia="仿宋_GB2312" w:hAnsi="仿宋" w:hint="eastAsia"/>
          <w:sz w:val="32"/>
          <w:szCs w:val="32"/>
        </w:rPr>
        <w:t>根据2024年度绩效运行监控、绩效自评等情况，当年盘活财政资金0 万元，2025年度预算项目2个，</w:t>
      </w:r>
      <w:r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  <w:t>与上年持平。</w:t>
      </w:r>
    </w:p>
    <w:p w14:paraId="572F84E6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 w:hint="eastAsia"/>
          <w:sz w:val="32"/>
          <w:szCs w:val="32"/>
        </w:rPr>
      </w:pPr>
    </w:p>
    <w:p w14:paraId="550A62EA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（二）2025年绩效目标编制情况</w:t>
      </w:r>
    </w:p>
    <w:p w14:paraId="0A81926A" w14:textId="77777777" w:rsidR="00000000" w:rsidRDefault="00000000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2025年，纳入本单位预算绩效目标管理的项目2个。其中，部门整体支出绩效目标围绕部门管理、履职效果、能力建设三个维度，设置二级指标 11个、三级指标 15 个；项目支出绩效目标围绕成本指标、产出指标、效益指标、满意度指标四个维度，设置二级指标 5个、三级指标 8个。各项绩效目标内容指向明确、细化量化、合理可行，符合规定的格式要求。</w:t>
      </w:r>
    </w:p>
    <w:p w14:paraId="27DA9319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十一、名词解释</w:t>
      </w:r>
    </w:p>
    <w:p w14:paraId="0749EE77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1、财政拨款: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3A4E108A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2、一般公共预算: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包括公共财政拨款（补助）资金、专项收入。</w:t>
      </w:r>
    </w:p>
    <w:p w14:paraId="5FDD58A5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3、财政专户管理资金: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包括专户管理行政事业性收费（主要是教育收费）、其他非税收入。</w:t>
      </w:r>
    </w:p>
    <w:p w14:paraId="499E9BF7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4、其他资金: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包括事业收入、事业经营收入、其他收入等。</w:t>
      </w:r>
    </w:p>
    <w:p w14:paraId="64D22D64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5、基本支出: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E244D49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6、项目支出: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部门（单位）支出预算的组成部分，是各部门（单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lastRenderedPageBreak/>
        <w:t>位）为完成其特定的行政任务或事业发展目标，在基本支出预算之外编制的年度项目支出计划。</w:t>
      </w:r>
    </w:p>
    <w:p w14:paraId="01B5E24F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7、“三公”经费: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39B79CAF" w14:textId="77777777" w:rsidR="00000000" w:rsidRDefault="00000000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8、机关运行经费: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5402B0F4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</w:p>
    <w:p w14:paraId="064B6725" w14:textId="77777777" w:rsidR="00000000" w:rsidRDefault="00000000">
      <w:pPr>
        <w:adjustRightInd w:val="0"/>
        <w:snapToGrid w:val="0"/>
        <w:spacing w:line="640" w:lineRule="exact"/>
        <w:contextualSpacing/>
        <w:jc w:val="right"/>
        <w:rPr>
          <w:rFonts w:ascii="仿宋_GB2312" w:eastAsia="仿宋_GB2312" w:hAnsi="CIDFont+F6" w:hint="eastAsia"/>
          <w:color w:val="000000"/>
          <w:sz w:val="32"/>
          <w:szCs w:val="32"/>
        </w:rPr>
      </w:pPr>
    </w:p>
    <w:p w14:paraId="15C0BC81" w14:textId="77777777" w:rsidR="00000000" w:rsidRDefault="00000000">
      <w:pPr>
        <w:adjustRightInd w:val="0"/>
        <w:snapToGrid w:val="0"/>
        <w:spacing w:line="640" w:lineRule="exact"/>
        <w:contextualSpacing/>
        <w:jc w:val="right"/>
        <w:rPr>
          <w:rFonts w:ascii="仿宋_GB2312" w:eastAsia="仿宋_GB2312" w:hAnsi="CIDFont+F6" w:hint="eastAsia"/>
          <w:color w:val="000000"/>
          <w:sz w:val="32"/>
          <w:szCs w:val="32"/>
        </w:rPr>
      </w:pPr>
    </w:p>
    <w:p w14:paraId="1E0C4DF9" w14:textId="77777777" w:rsidR="00000000" w:rsidRDefault="00000000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6" w:hint="eastAsia"/>
          <w:color w:val="000000"/>
          <w:sz w:val="32"/>
          <w:szCs w:val="32"/>
        </w:rPr>
        <w:t xml:space="preserve">  华池县不动产登记事务中心</w:t>
      </w:r>
    </w:p>
    <w:p w14:paraId="59180A45" w14:textId="77777777" w:rsidR="00000000" w:rsidRDefault="00000000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IDFont+F6" w:hint="eastAsia"/>
          <w:color w:val="000000"/>
          <w:sz w:val="32"/>
          <w:szCs w:val="32"/>
        </w:rPr>
        <w:t xml:space="preserve">                            2025年 02 月 07 日</w:t>
      </w:r>
    </w:p>
    <w:p w14:paraId="0A4ED77B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</w:p>
    <w:p w14:paraId="0DAD3811" w14:textId="77777777" w:rsidR="00000000" w:rsidRDefault="00000000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spacing w:val="-2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1华池县不动产登记事务中心 2025年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预算公开表</w:t>
      </w:r>
    </w:p>
    <w:p w14:paraId="494CA85C" w14:textId="77777777" w:rsidR="00000000" w:rsidRDefault="00000000">
      <w:pPr>
        <w:adjustRightInd w:val="0"/>
        <w:snapToGrid w:val="0"/>
        <w:spacing w:line="640" w:lineRule="exact"/>
        <w:ind w:leftChars="767" w:left="1797" w:hangingChars="58" w:hanging="186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2.华池县不动产登记事务中心 2025年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整体支出绩效目标及预算项目绩效目标表</w:t>
      </w:r>
    </w:p>
    <w:p w14:paraId="1CE3B681" w14:textId="77777777" w:rsidR="009A1660" w:rsidRDefault="009A1660">
      <w:pPr>
        <w:tabs>
          <w:tab w:val="left" w:pos="1272"/>
        </w:tabs>
      </w:pPr>
    </w:p>
    <w:sectPr w:rsidR="009A1660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5D83" w14:textId="77777777" w:rsidR="009A1660" w:rsidRDefault="009A1660">
      <w:r>
        <w:separator/>
      </w:r>
    </w:p>
  </w:endnote>
  <w:endnote w:type="continuationSeparator" w:id="0">
    <w:p w14:paraId="78138312" w14:textId="77777777" w:rsidR="009A1660" w:rsidRDefault="009A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IDFont+F6">
    <w:altName w:val="Times New Roman"/>
    <w:charset w:val="00"/>
    <w:family w:val="roman"/>
    <w:pitch w:val="default"/>
  </w:font>
  <w:font w:name="CIDFont+F4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F60A" w14:textId="77777777" w:rsidR="00000000" w:rsidRDefault="00000000">
    <w:pPr>
      <w:pStyle w:val="a7"/>
      <w:jc w:val="center"/>
    </w:pPr>
  </w:p>
  <w:p w14:paraId="062E92FC" w14:textId="77777777" w:rsidR="00000000" w:rsidRDefault="000000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F20" w14:textId="77777777" w:rsidR="00000000" w:rsidRDefault="0000000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12FBC638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A1E9" w14:textId="77777777" w:rsidR="009A1660" w:rsidRDefault="009A1660">
      <w:r>
        <w:separator/>
      </w:r>
    </w:p>
  </w:footnote>
  <w:footnote w:type="continuationSeparator" w:id="0">
    <w:p w14:paraId="1D32FD58" w14:textId="77777777" w:rsidR="009A1660" w:rsidRDefault="009A1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42DD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1660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04543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42A05423"/>
    <w:rsid w:val="4C433C79"/>
    <w:rsid w:val="527E074E"/>
    <w:rsid w:val="56393C72"/>
    <w:rsid w:val="579503FF"/>
    <w:rsid w:val="60535296"/>
    <w:rsid w:val="6C3B61B5"/>
    <w:rsid w:val="72FD2525"/>
    <w:rsid w:val="73FA59AB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19BC8"/>
  <w15:chartTrackingRefBased/>
  <w15:docId w15:val="{F6221B5E-3823-4485-91FB-89F57AC4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Pr>
      <w:rFonts w:ascii="Times New Roman" w:hAnsi="Times New Roman"/>
      <w:b/>
      <w:bCs/>
      <w:kern w:val="44"/>
      <w:sz w:val="44"/>
      <w:szCs w:val="44"/>
    </w:rPr>
  </w:style>
  <w:style w:type="paragraph" w:styleId="a3">
    <w:name w:val="annotation text"/>
    <w:basedOn w:val="a"/>
    <w:link w:val="a4"/>
    <w:qFormat/>
    <w:pPr>
      <w:jc w:val="left"/>
    </w:p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qFormat/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qFormat/>
    <w:rPr>
      <w:sz w:val="18"/>
      <w:szCs w:val="18"/>
    </w:rPr>
  </w:style>
  <w:style w:type="paragraph" w:styleId="ab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customStyle="1" w:styleId="ad">
    <w:name w:val="批注主题 字符"/>
    <w:link w:val="ac"/>
    <w:qFormat/>
    <w:rPr>
      <w:b/>
      <w:bCs/>
      <w:kern w:val="2"/>
      <w:sz w:val="21"/>
      <w:szCs w:val="22"/>
    </w:rPr>
  </w:style>
  <w:style w:type="character" w:styleId="ae">
    <w:name w:val="line number"/>
    <w:qFormat/>
  </w:style>
  <w:style w:type="character" w:styleId="af">
    <w:name w:val="annotation reference"/>
    <w:qFormat/>
    <w:rPr>
      <w:sz w:val="21"/>
      <w:szCs w:val="21"/>
    </w:rPr>
  </w:style>
  <w:style w:type="paragraph" w:styleId="af0">
    <w:name w:val="List Paragraph"/>
    <w:basedOn w:val="a"/>
    <w:qFormat/>
    <w:pPr>
      <w:ind w:firstLineChars="200" w:firstLine="420"/>
    </w:pPr>
  </w:style>
  <w:style w:type="paragraph" w:customStyle="1" w:styleId="TOCHeading">
    <w:name w:val="TOC Heading"/>
    <w:basedOn w:val="1"/>
    <w:next w:val="a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fontstyle01">
    <w:name w:val="fontstyle01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11">
    <w:name w:val="fontstyle11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31">
    <w:name w:val="fontstyle31"/>
    <w:qFormat/>
    <w:rPr>
      <w:rFonts w:ascii="TimesNewRomanPSMT" w:hAnsi="TimesNewRomanPSM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792</Words>
  <Characters>4516</Characters>
  <Application>Microsoft Office Word</Application>
  <DocSecurity>0</DocSecurity>
  <Lines>37</Lines>
  <Paragraphs>10</Paragraphs>
  <ScaleCrop>false</ScaleCrop>
  <Company>beijing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Pengjun MI</cp:lastModifiedBy>
  <cp:revision>2</cp:revision>
  <cp:lastPrinted>2022-02-15T07:45:00Z</cp:lastPrinted>
  <dcterms:created xsi:type="dcterms:W3CDTF">2025-02-11T08:30:00Z</dcterms:created>
  <dcterms:modified xsi:type="dcterms:W3CDTF">2025-02-11T08:30:00Z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B093B900E6AB4D5CA18E729014585CD6_13</vt:lpwstr>
  </property>
  <property fmtid="{D5CDD505-2E9C-101B-9397-08002B2CF9AE}" pid="4" name="KSOTemplateDocerSaveRecord">
    <vt:lpwstr>eyJoZGlkIjoiMDliZWRjMTJkOWU5M2E3MTcxOGNhMWI3MjRjZjg3YjcifQ==</vt:lpwstr>
  </property>
</Properties>
</file>