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华池县第二中学</w:t>
      </w:r>
    </w:p>
    <w:p w14:paraId="02FAE8A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DCF6E7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DBE1E3C">
      <w:pPr>
        <w:spacing w:line="600" w:lineRule="exact"/>
        <w:ind w:firstLine="62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华池县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第二中学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属全额拨款事业单位，隶属于华池县教育局，主要职责是负责普及本辖区内及周边附近乡村适龄少年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儿童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九年义务教育工作。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5248482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华池县第二中学内设七个职能股室,包括:党支部、办公室、教务处、政教处、总务处、工会、团支部。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24EB2E3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775D84D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704A4B62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1565.37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1565.37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1142.21万元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237.91万元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75.51万元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109.74万元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1565.37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1565.37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1565.37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1"/>
          <w:rFonts w:hint="eastAsia" w:hAnsi="仿宋" w:eastAsia="仿宋_GB2312"/>
          <w:lang w:val="en-US" w:eastAsia="zh-CN"/>
        </w:rPr>
        <w:t>1565.37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default" w:hAnsi="仿宋"/>
        </w:rPr>
        <w:t xml:space="preserve"> 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660C6F7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1565.37</w:t>
      </w:r>
      <w:r>
        <w:rPr>
          <w:rStyle w:val="21"/>
          <w:rFonts w:hint="default" w:hAnsi="仿宋"/>
        </w:rPr>
        <w:t>万元，包括：教育支出</w:t>
      </w:r>
      <w:r>
        <w:rPr>
          <w:rStyle w:val="21"/>
          <w:rFonts w:hint="eastAsia" w:hAnsi="仿宋" w:eastAsia="仿宋_GB2312"/>
          <w:lang w:val="en-US" w:eastAsia="zh-CN"/>
        </w:rPr>
        <w:t>1142.21</w:t>
      </w:r>
      <w:r>
        <w:rPr>
          <w:rStyle w:val="21"/>
          <w:rFonts w:hint="default" w:hAnsi="仿宋"/>
        </w:rPr>
        <w:t>万元、科学技术支出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Style w:val="22"/>
          <w:rFonts w:hint="eastAsia" w:ascii="仿宋_GB2312" w:hAnsi="仿宋" w:eastAsia="仿宋_GB2312"/>
          <w:lang w:val="en-US" w:eastAsia="zh-CN"/>
        </w:rPr>
        <w:t>237.91</w:t>
      </w:r>
      <w:r>
        <w:rPr>
          <w:rStyle w:val="21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75.51</w:t>
      </w:r>
      <w:r>
        <w:rPr>
          <w:rStyle w:val="21"/>
          <w:rFonts w:hint="default" w:hAnsi="仿宋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109.74万元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1565.37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68.9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4.40</w:t>
      </w:r>
      <w:r>
        <w:rPr>
          <w:rFonts w:hint="eastAsia" w:ascii="仿宋_GB2312" w:hAnsi="仿宋" w:eastAsia="仿宋_GB2312"/>
          <w:sz w:val="32"/>
          <w:szCs w:val="32"/>
        </w:rPr>
        <w:t>%，增长主要原因是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工资普调和人员调动导致工资福利支出预算增加。</w:t>
      </w:r>
    </w:p>
    <w:p w14:paraId="5479CF8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1518.77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435.39万元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555.22万元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104.68万元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149.05万元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74.53万元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59.44万元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16.07万元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14.33万元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109.74万元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对个人和家庭的补助0.32万元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A4E7A7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46.6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10.97万元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22.86万元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12.76万元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9EA0CC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5374E1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193B2B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0B4BAFB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E181C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1.教育支出（ 类）普通教育（ 款） 初中教育（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1142.21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45.83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增加4.01%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工资普调和人员调动导致工资福利预算增大。</w:t>
      </w:r>
    </w:p>
    <w:p w14:paraId="6D9A2A4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2.社会保障和就业支出（ 类）行政事业单位养老支出（ 款）机关事业单位基本养老保险缴费支出、机关事业单位职业年金缴费支出（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237.91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增加16.6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万元， 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增加6.98%，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286082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3.卫生健康支出（ 类）行政事业单位医疗（ 款）事业单位医疗（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75.51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增加2.54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增加3.36%，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5F71FF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（ 类）住房改革支出（ 款）住房公积金（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109.74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增加3.93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增加3.58%，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55C561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9DF489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“三公”经费预算。</w:t>
      </w:r>
    </w:p>
    <w:p w14:paraId="7779602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405A80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690240B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B1BB981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6AB4B4F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107.42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107.42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9DA5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2216.39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12029.27</w:t>
      </w:r>
      <w:r>
        <w:rPr>
          <w:rFonts w:hint="eastAsia" w:ascii="仿宋_GB2312" w:hAnsi="仿宋" w:eastAsia="仿宋_GB2312"/>
          <w:sz w:val="32"/>
          <w:szCs w:val="32"/>
        </w:rPr>
        <w:t xml:space="preserve">     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1203.15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78.56</w:t>
      </w:r>
      <w:r>
        <w:rPr>
          <w:rFonts w:hint="eastAsia" w:ascii="仿宋_GB2312" w:hAnsi="仿宋" w:eastAsia="仿宋_GB2312"/>
          <w:sz w:val="32"/>
          <w:szCs w:val="32"/>
        </w:rPr>
        <w:t>万元。2024年拟采购固定资产约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759CEA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418C52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11BB764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2FDCA0D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538E6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06A2804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248A4C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4729B1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未安排预算，位管理转移支付表为空表。</w:t>
      </w:r>
    </w:p>
    <w:p w14:paraId="6C7727D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1A4831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6D3912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8B314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179DD3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262B9E4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8C5062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60B24CA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华池县第二中学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华池县第二中学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华池县第二中学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84F1543"/>
    <w:rsid w:val="113741D2"/>
    <w:rsid w:val="18330BA7"/>
    <w:rsid w:val="1D34261E"/>
    <w:rsid w:val="377F13B1"/>
    <w:rsid w:val="42A05423"/>
    <w:rsid w:val="4C433C79"/>
    <w:rsid w:val="527E074E"/>
    <w:rsid w:val="56393C72"/>
    <w:rsid w:val="579503FF"/>
    <w:rsid w:val="5F2E4C58"/>
    <w:rsid w:val="60535296"/>
    <w:rsid w:val="635710DF"/>
    <w:rsid w:val="6CE605DB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3442</Words>
  <Characters>3760</Characters>
  <Lines>68</Lines>
  <Paragraphs>19</Paragraphs>
  <TotalTime>7</TotalTime>
  <ScaleCrop>false</ScaleCrop>
  <LinksUpToDate>false</LinksUpToDate>
  <CharactersWithSpaces>3816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</cp:lastModifiedBy>
  <cp:lastPrinted>2025-02-10T13:36:00Z</cp:lastPrinted>
  <dcterms:modified xsi:type="dcterms:W3CDTF">2025-02-11T03:32:32Z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eyJoZGlkIjoiNzJmY2Q0ZjM0NmViMWE4N2RjYTdiNmRjYjg5OTFkOTkifQ==</vt:lpwstr>
  </property>
</Properties>
</file>