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D8B6B5">
      <w:pPr>
        <w:spacing w:line="660" w:lineRule="exact"/>
        <w:jc w:val="center"/>
        <w:rPr>
          <w:rFonts w:ascii="宋体" w:hAnsi="宋体" w:cs="宋体"/>
          <w:b/>
          <w:bCs/>
          <w:kern w:val="0"/>
          <w:sz w:val="44"/>
          <w:szCs w:val="44"/>
        </w:rPr>
      </w:pPr>
    </w:p>
    <w:p w14:paraId="0065D364">
      <w:pPr>
        <w:spacing w:line="660" w:lineRule="exact"/>
        <w:jc w:val="center"/>
        <w:rPr>
          <w:rFonts w:ascii="宋体" w:hAnsi="宋体" w:cs="宋体"/>
          <w:b/>
          <w:bCs/>
          <w:kern w:val="0"/>
          <w:sz w:val="44"/>
          <w:szCs w:val="44"/>
        </w:rPr>
      </w:pPr>
    </w:p>
    <w:p w14:paraId="5AF7918B">
      <w:pPr>
        <w:spacing w:line="660" w:lineRule="exact"/>
        <w:jc w:val="center"/>
        <w:rPr>
          <w:rFonts w:ascii="宋体" w:hAnsi="宋体" w:cs="宋体"/>
          <w:b/>
          <w:bCs/>
          <w:kern w:val="0"/>
          <w:sz w:val="44"/>
          <w:szCs w:val="44"/>
        </w:rPr>
      </w:pPr>
    </w:p>
    <w:p w14:paraId="551CE5B4">
      <w:pPr>
        <w:spacing w:line="660" w:lineRule="exact"/>
        <w:jc w:val="center"/>
        <w:rPr>
          <w:rFonts w:hint="eastAsia" w:ascii="宋体" w:hAnsi="宋体" w:cs="宋体"/>
          <w:b/>
          <w:bCs/>
          <w:kern w:val="0"/>
          <w:sz w:val="44"/>
          <w:szCs w:val="44"/>
          <w:lang w:val="en-US" w:eastAsia="zh-CN"/>
        </w:rPr>
      </w:pPr>
      <w:r>
        <w:rPr>
          <w:rFonts w:hint="eastAsia" w:ascii="宋体" w:hAnsi="宋体" w:cs="宋体"/>
          <w:b/>
          <w:bCs/>
          <w:kern w:val="0"/>
          <w:sz w:val="44"/>
          <w:szCs w:val="44"/>
          <w:lang w:val="en-US" w:eastAsia="zh-CN"/>
        </w:rPr>
        <w:t>华池县统计局</w:t>
      </w:r>
    </w:p>
    <w:p w14:paraId="3D6073F9">
      <w:pPr>
        <w:spacing w:line="660" w:lineRule="exact"/>
        <w:jc w:val="center"/>
        <w:rPr>
          <w:rFonts w:ascii="宋体" w:hAnsi="宋体" w:cs="宋体"/>
          <w:b/>
          <w:bCs/>
          <w:kern w:val="0"/>
          <w:sz w:val="44"/>
          <w:szCs w:val="44"/>
        </w:rPr>
        <w:sectPr>
          <w:footerReference r:id="rId3" w:type="default"/>
          <w:pgSz w:w="11906" w:h="16838"/>
          <w:pgMar w:top="1134" w:right="1134" w:bottom="1440" w:left="1276" w:header="851" w:footer="992" w:gutter="0"/>
          <w:cols w:space="720" w:num="1"/>
          <w:docGrid w:type="lines" w:linePitch="312" w:charSpace="0"/>
        </w:sectPr>
      </w:pPr>
      <w:r>
        <w:rPr>
          <w:rFonts w:hint="eastAsia" w:ascii="宋体" w:hAnsi="宋体" w:cs="宋体"/>
          <w:b/>
          <w:bCs/>
          <w:kern w:val="0"/>
          <w:sz w:val="44"/>
          <w:szCs w:val="44"/>
          <w:lang w:eastAsia="zh-CN"/>
        </w:rPr>
        <w:t>2025</w:t>
      </w:r>
      <w:r>
        <w:rPr>
          <w:rFonts w:hint="eastAsia" w:ascii="宋体" w:hAnsi="宋体" w:cs="宋体"/>
          <w:b/>
          <w:bCs/>
          <w:kern w:val="0"/>
          <w:sz w:val="44"/>
          <w:szCs w:val="44"/>
        </w:rPr>
        <w:t xml:space="preserve">年单位预算公开情况说明 </w:t>
      </w:r>
    </w:p>
    <w:p w14:paraId="23298934">
      <w:pPr>
        <w:spacing w:line="660" w:lineRule="exact"/>
        <w:jc w:val="center"/>
        <w:rPr>
          <w:rFonts w:ascii="宋体" w:hAnsi="宋体" w:cs="宋体"/>
          <w:b/>
          <w:bCs/>
          <w:kern w:val="0"/>
          <w:sz w:val="44"/>
          <w:szCs w:val="44"/>
        </w:rPr>
      </w:pPr>
      <w:r>
        <w:rPr>
          <w:rFonts w:hint="eastAsia" w:ascii="宋体" w:hAnsi="宋体" w:cs="宋体"/>
          <w:b/>
          <w:bCs/>
          <w:kern w:val="0"/>
          <w:sz w:val="44"/>
          <w:szCs w:val="44"/>
        </w:rPr>
        <w:t>目  录</w:t>
      </w:r>
    </w:p>
    <w:p w14:paraId="404A4908">
      <w:pPr>
        <w:spacing w:line="660" w:lineRule="exact"/>
        <w:jc w:val="center"/>
        <w:rPr>
          <w:rFonts w:ascii="宋体" w:hAnsi="宋体" w:cs="宋体"/>
          <w:b/>
          <w:bCs/>
          <w:kern w:val="0"/>
          <w:sz w:val="44"/>
          <w:szCs w:val="44"/>
        </w:rPr>
      </w:pPr>
    </w:p>
    <w:p w14:paraId="581C7286">
      <w:pPr>
        <w:spacing w:line="30" w:lineRule="exact"/>
        <w:jc w:val="center"/>
        <w:rPr>
          <w:rFonts w:ascii="黑体" w:eastAsia="黑体"/>
          <w:color w:val="000000"/>
          <w:sz w:val="18"/>
          <w:szCs w:val="18"/>
        </w:rPr>
      </w:pPr>
    </w:p>
    <w:p w14:paraId="53002029">
      <w:pPr>
        <w:keepNext w:val="0"/>
        <w:keepLines w:val="0"/>
        <w:pageBreakBefore w:val="0"/>
        <w:kinsoku/>
        <w:wordWrap/>
        <w:overflowPunct/>
        <w:topLinePunct w:val="0"/>
        <w:autoSpaceDE/>
        <w:autoSpaceDN/>
        <w:bidi w:val="0"/>
        <w:spacing w:line="560" w:lineRule="exact"/>
        <w:ind w:firstLine="643" w:firstLineChars="200"/>
        <w:jc w:val="left"/>
        <w:textAlignment w:val="auto"/>
        <w:rPr>
          <w:rFonts w:ascii="仿宋_GB2312" w:hAnsi="仿宋" w:eastAsia="仿宋_GB2312"/>
          <w:b/>
          <w:color w:val="000000"/>
          <w:sz w:val="32"/>
          <w:szCs w:val="32"/>
        </w:rPr>
      </w:pPr>
      <w:r>
        <w:rPr>
          <w:rFonts w:hint="eastAsia" w:ascii="仿宋_GB2312" w:hAnsi="仿宋" w:eastAsia="仿宋_GB2312"/>
          <w:b/>
          <w:color w:val="000000"/>
          <w:sz w:val="32"/>
          <w:szCs w:val="32"/>
        </w:rPr>
        <w:t>第一部分 单位基本概况</w:t>
      </w:r>
    </w:p>
    <w:p w14:paraId="70C024E0">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一、</w:t>
      </w:r>
      <w:r>
        <w:rPr>
          <w:rFonts w:hint="eastAsia" w:ascii="仿宋_GB2312" w:hAnsi="仿宋" w:eastAsia="仿宋_GB2312"/>
          <w:color w:val="000000"/>
          <w:sz w:val="32"/>
          <w:szCs w:val="32"/>
          <w:lang w:eastAsia="zh-CN"/>
        </w:rPr>
        <w:t>单位</w:t>
      </w:r>
      <w:r>
        <w:rPr>
          <w:rFonts w:hint="eastAsia" w:ascii="仿宋_GB2312" w:hAnsi="仿宋" w:eastAsia="仿宋_GB2312"/>
          <w:color w:val="000000"/>
          <w:sz w:val="32"/>
          <w:szCs w:val="32"/>
        </w:rPr>
        <w:t>职责</w:t>
      </w:r>
    </w:p>
    <w:p w14:paraId="4D83AF2B">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二、机构设置情况</w:t>
      </w:r>
    </w:p>
    <w:p w14:paraId="433351F8">
      <w:pPr>
        <w:keepNext w:val="0"/>
        <w:keepLines w:val="0"/>
        <w:pageBreakBefore w:val="0"/>
        <w:kinsoku/>
        <w:wordWrap/>
        <w:overflowPunct/>
        <w:topLinePunct w:val="0"/>
        <w:autoSpaceDE/>
        <w:autoSpaceDN/>
        <w:bidi w:val="0"/>
        <w:spacing w:line="560" w:lineRule="exact"/>
        <w:ind w:firstLine="643" w:firstLineChars="200"/>
        <w:jc w:val="left"/>
        <w:textAlignment w:val="auto"/>
        <w:rPr>
          <w:rFonts w:hint="eastAsia" w:ascii="仿宋_GB2312" w:hAnsi="仿宋" w:eastAsia="仿宋_GB2312"/>
          <w:b/>
          <w:color w:val="000000"/>
          <w:sz w:val="32"/>
          <w:szCs w:val="32"/>
        </w:rPr>
      </w:pPr>
      <w:r>
        <w:rPr>
          <w:rFonts w:hint="eastAsia" w:ascii="仿宋_GB2312" w:hAnsi="仿宋" w:eastAsia="仿宋_GB2312"/>
          <w:b/>
          <w:color w:val="000000"/>
          <w:sz w:val="32"/>
          <w:szCs w:val="32"/>
        </w:rPr>
        <w:t xml:space="preserve">第二部分 </w:t>
      </w:r>
      <w:r>
        <w:rPr>
          <w:rFonts w:hint="eastAsia" w:ascii="仿宋_GB2312" w:hAnsi="仿宋" w:eastAsia="仿宋_GB2312"/>
          <w:b/>
          <w:color w:val="000000"/>
          <w:sz w:val="32"/>
          <w:szCs w:val="32"/>
          <w:lang w:eastAsia="zh-CN"/>
        </w:rPr>
        <w:t>2025</w:t>
      </w:r>
      <w:r>
        <w:rPr>
          <w:rFonts w:hint="eastAsia" w:ascii="仿宋_GB2312" w:hAnsi="仿宋" w:eastAsia="仿宋_GB2312"/>
          <w:b/>
          <w:color w:val="000000"/>
          <w:sz w:val="32"/>
          <w:szCs w:val="32"/>
        </w:rPr>
        <w:t>年</w:t>
      </w:r>
      <w:r>
        <w:rPr>
          <w:rFonts w:hint="eastAsia" w:ascii="仿宋_GB2312" w:hAnsi="仿宋" w:eastAsia="仿宋_GB2312"/>
          <w:b/>
          <w:color w:val="000000"/>
          <w:sz w:val="32"/>
          <w:szCs w:val="32"/>
          <w:lang w:eastAsia="zh-CN"/>
        </w:rPr>
        <w:t>单位</w:t>
      </w:r>
      <w:r>
        <w:rPr>
          <w:rFonts w:hint="eastAsia" w:ascii="仿宋_GB2312" w:hAnsi="仿宋" w:eastAsia="仿宋_GB2312"/>
          <w:b/>
          <w:color w:val="000000"/>
          <w:sz w:val="32"/>
          <w:szCs w:val="32"/>
        </w:rPr>
        <w:t>预算情况说明</w:t>
      </w:r>
    </w:p>
    <w:p w14:paraId="44EBD670">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_GB2312" w:hAnsi="仿宋" w:eastAsia="仿宋_GB2312"/>
          <w:color w:val="000000"/>
          <w:sz w:val="32"/>
          <w:szCs w:val="32"/>
        </w:rPr>
      </w:pPr>
      <w:r>
        <w:rPr>
          <w:rFonts w:hint="eastAsia" w:ascii="仿宋_GB2312" w:hAnsi="仿宋" w:eastAsia="仿宋_GB2312"/>
          <w:color w:val="000000"/>
          <w:sz w:val="32"/>
          <w:szCs w:val="32"/>
          <w:lang w:val="en-US" w:eastAsia="zh-CN"/>
        </w:rPr>
        <w:t>三</w:t>
      </w:r>
      <w:r>
        <w:rPr>
          <w:rFonts w:hint="eastAsia" w:ascii="仿宋_GB2312" w:hAnsi="仿宋" w:eastAsia="仿宋_GB2312"/>
          <w:color w:val="000000"/>
          <w:sz w:val="32"/>
          <w:szCs w:val="32"/>
        </w:rPr>
        <w:t>、收支总体情况</w:t>
      </w:r>
    </w:p>
    <w:p w14:paraId="0BB73FF5">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_GB2312" w:hAnsi="仿宋" w:eastAsia="仿宋_GB2312"/>
          <w:color w:val="000000"/>
          <w:sz w:val="32"/>
          <w:szCs w:val="32"/>
        </w:rPr>
      </w:pPr>
      <w:r>
        <w:rPr>
          <w:rFonts w:hint="eastAsia" w:ascii="仿宋_GB2312" w:hAnsi="仿宋" w:eastAsia="仿宋_GB2312"/>
          <w:color w:val="000000"/>
          <w:sz w:val="32"/>
          <w:szCs w:val="32"/>
          <w:lang w:val="en-US" w:eastAsia="zh-CN"/>
        </w:rPr>
        <w:t>四</w:t>
      </w:r>
      <w:r>
        <w:rPr>
          <w:rFonts w:hint="eastAsia" w:ascii="仿宋_GB2312" w:hAnsi="仿宋" w:eastAsia="仿宋_GB2312"/>
          <w:color w:val="000000"/>
          <w:sz w:val="32"/>
          <w:szCs w:val="32"/>
        </w:rPr>
        <w:t>、一般公共预算情况</w:t>
      </w:r>
    </w:p>
    <w:p w14:paraId="4A12B8CB">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_GB2312" w:hAnsi="仿宋" w:eastAsia="仿宋_GB2312"/>
          <w:color w:val="000000"/>
          <w:sz w:val="32"/>
          <w:szCs w:val="32"/>
        </w:rPr>
      </w:pPr>
      <w:r>
        <w:rPr>
          <w:rFonts w:hint="eastAsia" w:ascii="仿宋_GB2312" w:hAnsi="仿宋" w:eastAsia="仿宋_GB2312"/>
          <w:color w:val="000000"/>
          <w:sz w:val="32"/>
          <w:szCs w:val="32"/>
          <w:lang w:val="en-US" w:eastAsia="zh-CN"/>
        </w:rPr>
        <w:t>五</w:t>
      </w:r>
      <w:r>
        <w:rPr>
          <w:rFonts w:hint="eastAsia" w:ascii="仿宋_GB2312" w:hAnsi="仿宋" w:eastAsia="仿宋_GB2312"/>
          <w:color w:val="000000"/>
          <w:sz w:val="32"/>
          <w:szCs w:val="32"/>
        </w:rPr>
        <w:t>、一般公共预算财政拨款“三公”经费、培训费、会议费等情况</w:t>
      </w:r>
    </w:p>
    <w:p w14:paraId="435BC81C">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_GB2312" w:hAnsi="仿宋" w:eastAsia="仿宋_GB2312"/>
          <w:color w:val="000000"/>
          <w:sz w:val="32"/>
          <w:szCs w:val="32"/>
        </w:rPr>
      </w:pPr>
      <w:r>
        <w:rPr>
          <w:rFonts w:hint="eastAsia" w:ascii="仿宋_GB2312" w:hAnsi="仿宋" w:eastAsia="仿宋_GB2312"/>
          <w:color w:val="000000"/>
          <w:sz w:val="32"/>
          <w:szCs w:val="32"/>
          <w:lang w:val="en-US" w:eastAsia="zh-CN"/>
        </w:rPr>
        <w:t>六</w:t>
      </w:r>
      <w:r>
        <w:rPr>
          <w:rFonts w:hint="eastAsia" w:ascii="仿宋_GB2312" w:hAnsi="仿宋" w:eastAsia="仿宋_GB2312"/>
          <w:color w:val="000000"/>
          <w:sz w:val="32"/>
          <w:szCs w:val="32"/>
        </w:rPr>
        <w:t>、一般公共预算财政拨款机关运行经费情况</w:t>
      </w:r>
    </w:p>
    <w:p w14:paraId="2F88CE30">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_GB2312" w:hAnsi="仿宋" w:eastAsia="仿宋_GB2312"/>
          <w:color w:val="000000"/>
          <w:sz w:val="32"/>
          <w:szCs w:val="32"/>
        </w:rPr>
      </w:pPr>
      <w:r>
        <w:rPr>
          <w:rFonts w:hint="eastAsia" w:ascii="仿宋_GB2312" w:hAnsi="仿宋" w:eastAsia="仿宋_GB2312"/>
          <w:color w:val="000000"/>
          <w:sz w:val="32"/>
          <w:szCs w:val="32"/>
          <w:lang w:val="en-US" w:eastAsia="zh-CN"/>
        </w:rPr>
        <w:t>七</w:t>
      </w:r>
      <w:r>
        <w:rPr>
          <w:rFonts w:hint="eastAsia" w:ascii="仿宋_GB2312" w:hAnsi="仿宋" w:eastAsia="仿宋_GB2312"/>
          <w:color w:val="000000"/>
          <w:sz w:val="32"/>
          <w:szCs w:val="32"/>
        </w:rPr>
        <w:t>、政府采购安排情况</w:t>
      </w:r>
    </w:p>
    <w:p w14:paraId="5046C445">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_GB2312" w:hAnsi="仿宋" w:eastAsia="仿宋_GB2312"/>
          <w:color w:val="000000"/>
          <w:sz w:val="32"/>
          <w:szCs w:val="32"/>
        </w:rPr>
      </w:pPr>
      <w:r>
        <w:rPr>
          <w:rFonts w:hint="eastAsia" w:ascii="仿宋_GB2312" w:hAnsi="仿宋" w:eastAsia="仿宋_GB2312"/>
          <w:color w:val="000000"/>
          <w:sz w:val="32"/>
          <w:szCs w:val="32"/>
          <w:lang w:val="en-US" w:eastAsia="zh-CN"/>
        </w:rPr>
        <w:t>八</w:t>
      </w:r>
      <w:r>
        <w:rPr>
          <w:rFonts w:hint="eastAsia" w:ascii="仿宋_GB2312" w:hAnsi="仿宋" w:eastAsia="仿宋_GB2312"/>
          <w:color w:val="000000"/>
          <w:sz w:val="32"/>
          <w:szCs w:val="32"/>
        </w:rPr>
        <w:t>、国有资产占用情况</w:t>
      </w:r>
    </w:p>
    <w:p w14:paraId="6D55E2E0">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_GB2312" w:hAnsi="仿宋" w:eastAsia="仿宋_GB2312"/>
          <w:color w:val="000000"/>
          <w:sz w:val="32"/>
          <w:szCs w:val="32"/>
        </w:rPr>
      </w:pPr>
      <w:r>
        <w:rPr>
          <w:rFonts w:hint="eastAsia" w:ascii="仿宋_GB2312" w:hAnsi="仿宋" w:eastAsia="仿宋_GB2312"/>
          <w:color w:val="000000"/>
          <w:sz w:val="32"/>
          <w:szCs w:val="32"/>
          <w:lang w:val="en-US" w:eastAsia="zh-CN"/>
        </w:rPr>
        <w:t>九</w:t>
      </w:r>
      <w:r>
        <w:rPr>
          <w:rFonts w:hint="eastAsia" w:ascii="仿宋_GB2312" w:hAnsi="仿宋" w:eastAsia="仿宋_GB2312"/>
          <w:color w:val="000000"/>
          <w:sz w:val="32"/>
          <w:szCs w:val="32"/>
        </w:rPr>
        <w:t>、其他重要事项情况说明</w:t>
      </w:r>
    </w:p>
    <w:p w14:paraId="171C4917">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_GB2312" w:hAnsi="仿宋" w:eastAsia="仿宋_GB2312"/>
          <w:color w:val="000000"/>
          <w:sz w:val="32"/>
          <w:szCs w:val="32"/>
        </w:rPr>
      </w:pPr>
      <w:r>
        <w:rPr>
          <w:rFonts w:hint="eastAsia" w:ascii="仿宋_GB2312" w:hAnsi="仿宋" w:eastAsia="仿宋_GB2312"/>
          <w:color w:val="000000"/>
          <w:sz w:val="32"/>
          <w:szCs w:val="32"/>
          <w:lang w:val="en-US" w:eastAsia="zh-CN"/>
        </w:rPr>
        <w:t>十</w:t>
      </w:r>
      <w:r>
        <w:rPr>
          <w:rFonts w:hint="eastAsia" w:ascii="仿宋_GB2312" w:hAnsi="仿宋" w:eastAsia="仿宋_GB2312"/>
          <w:color w:val="000000"/>
          <w:sz w:val="32"/>
          <w:szCs w:val="32"/>
        </w:rPr>
        <w:t>、预算绩效管理情况</w:t>
      </w:r>
    </w:p>
    <w:p w14:paraId="7042C3D9">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_GB2312" w:hAnsi="仿宋" w:eastAsia="仿宋_GB2312"/>
          <w:color w:val="000000"/>
          <w:sz w:val="32"/>
          <w:szCs w:val="32"/>
        </w:rPr>
      </w:pPr>
      <w:r>
        <w:rPr>
          <w:rFonts w:hint="eastAsia" w:ascii="仿宋_GB2312" w:hAnsi="仿宋" w:eastAsia="仿宋_GB2312"/>
          <w:color w:val="000000"/>
          <w:sz w:val="32"/>
          <w:szCs w:val="32"/>
          <w:lang w:val="en-US" w:eastAsia="zh-CN"/>
        </w:rPr>
        <w:t>十一</w:t>
      </w:r>
      <w:r>
        <w:rPr>
          <w:rFonts w:hint="eastAsia" w:ascii="仿宋_GB2312" w:hAnsi="仿宋" w:eastAsia="仿宋_GB2312"/>
          <w:color w:val="000000"/>
          <w:sz w:val="32"/>
          <w:szCs w:val="32"/>
        </w:rPr>
        <w:t>、名词解释</w:t>
      </w:r>
    </w:p>
    <w:p w14:paraId="734FD345">
      <w:pPr>
        <w:keepNext w:val="0"/>
        <w:keepLines w:val="0"/>
        <w:pageBreakBefore w:val="0"/>
        <w:kinsoku/>
        <w:wordWrap/>
        <w:overflowPunct/>
        <w:topLinePunct w:val="0"/>
        <w:autoSpaceDE/>
        <w:autoSpaceDN/>
        <w:bidi w:val="0"/>
        <w:spacing w:line="560" w:lineRule="exact"/>
        <w:ind w:firstLine="643" w:firstLineChars="200"/>
        <w:jc w:val="left"/>
        <w:textAlignment w:val="auto"/>
        <w:rPr>
          <w:rFonts w:hint="eastAsia" w:ascii="仿宋_GB2312" w:hAnsi="仿宋" w:eastAsia="仿宋_GB2312"/>
          <w:b/>
          <w:color w:val="000000"/>
          <w:sz w:val="32"/>
          <w:szCs w:val="32"/>
        </w:rPr>
      </w:pPr>
      <w:r>
        <w:rPr>
          <w:rFonts w:hint="eastAsia" w:ascii="仿宋_GB2312" w:hAnsi="仿宋" w:eastAsia="仿宋_GB2312"/>
          <w:b/>
          <w:color w:val="000000"/>
          <w:sz w:val="32"/>
          <w:szCs w:val="32"/>
        </w:rPr>
        <w:t xml:space="preserve">第三部分 </w:t>
      </w:r>
      <w:r>
        <w:rPr>
          <w:rFonts w:hint="eastAsia" w:ascii="仿宋_GB2312" w:hAnsi="仿宋" w:eastAsia="仿宋_GB2312"/>
          <w:b/>
          <w:color w:val="000000"/>
          <w:sz w:val="32"/>
          <w:szCs w:val="32"/>
          <w:lang w:eastAsia="zh-CN"/>
        </w:rPr>
        <w:t>2025</w:t>
      </w:r>
      <w:r>
        <w:rPr>
          <w:rFonts w:hint="eastAsia" w:ascii="仿宋_GB2312" w:hAnsi="仿宋" w:eastAsia="仿宋_GB2312"/>
          <w:b/>
          <w:color w:val="000000"/>
          <w:sz w:val="32"/>
          <w:szCs w:val="32"/>
        </w:rPr>
        <w:t>年单位预算公开表</w:t>
      </w:r>
    </w:p>
    <w:p w14:paraId="3FD2078A">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一、</w:t>
      </w:r>
      <w:r>
        <w:rPr>
          <w:rFonts w:hint="eastAsia" w:ascii="仿宋_GB2312" w:hAnsi="仿宋" w:eastAsia="仿宋_GB2312"/>
          <w:color w:val="000000"/>
          <w:sz w:val="32"/>
          <w:szCs w:val="32"/>
          <w:lang w:eastAsia="zh-CN"/>
        </w:rPr>
        <w:t>单位</w:t>
      </w:r>
      <w:r>
        <w:rPr>
          <w:rFonts w:hint="eastAsia" w:ascii="仿宋_GB2312" w:hAnsi="仿宋" w:eastAsia="仿宋_GB2312"/>
          <w:color w:val="000000"/>
          <w:sz w:val="32"/>
          <w:szCs w:val="32"/>
        </w:rPr>
        <w:t>收支总体情况表</w:t>
      </w:r>
    </w:p>
    <w:p w14:paraId="72142C80">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二、</w:t>
      </w:r>
      <w:r>
        <w:rPr>
          <w:rFonts w:hint="eastAsia" w:ascii="仿宋_GB2312" w:hAnsi="仿宋" w:eastAsia="仿宋_GB2312"/>
          <w:color w:val="000000"/>
          <w:sz w:val="32"/>
          <w:szCs w:val="32"/>
          <w:lang w:eastAsia="zh-CN"/>
        </w:rPr>
        <w:t>单位</w:t>
      </w:r>
      <w:r>
        <w:rPr>
          <w:rFonts w:hint="eastAsia" w:ascii="仿宋_GB2312" w:hAnsi="仿宋" w:eastAsia="仿宋_GB2312"/>
          <w:color w:val="000000"/>
          <w:sz w:val="32"/>
          <w:szCs w:val="32"/>
        </w:rPr>
        <w:t>收入总体情况表</w:t>
      </w:r>
    </w:p>
    <w:p w14:paraId="45966E8E">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三、</w:t>
      </w:r>
      <w:r>
        <w:rPr>
          <w:rFonts w:hint="eastAsia" w:ascii="仿宋_GB2312" w:hAnsi="仿宋" w:eastAsia="仿宋_GB2312"/>
          <w:color w:val="000000"/>
          <w:sz w:val="32"/>
          <w:szCs w:val="32"/>
          <w:lang w:eastAsia="zh-CN"/>
        </w:rPr>
        <w:t>单位</w:t>
      </w:r>
      <w:r>
        <w:rPr>
          <w:rFonts w:hint="eastAsia" w:ascii="仿宋_GB2312" w:hAnsi="仿宋" w:eastAsia="仿宋_GB2312"/>
          <w:color w:val="000000"/>
          <w:sz w:val="32"/>
          <w:szCs w:val="32"/>
        </w:rPr>
        <w:t>支出总体情况表</w:t>
      </w:r>
    </w:p>
    <w:p w14:paraId="675B8204">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四、财政拨款收支总体情况表</w:t>
      </w:r>
    </w:p>
    <w:p w14:paraId="7622165F">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五、财政拨款支出表</w:t>
      </w:r>
    </w:p>
    <w:p w14:paraId="6361183A">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六、一般公共预算支出情况表</w:t>
      </w:r>
    </w:p>
    <w:p w14:paraId="600E5294">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七、一般公共预算基本支出情况表</w:t>
      </w:r>
    </w:p>
    <w:p w14:paraId="5189B486">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_GB2312" w:hAnsi="仿宋" w:eastAsia="仿宋_GB2312"/>
          <w:color w:val="000000"/>
          <w:spacing w:val="-20"/>
          <w:sz w:val="32"/>
          <w:szCs w:val="32"/>
        </w:rPr>
      </w:pPr>
      <w:r>
        <w:rPr>
          <w:rFonts w:hint="eastAsia" w:ascii="仿宋_GB2312" w:hAnsi="仿宋" w:eastAsia="仿宋_GB2312"/>
          <w:color w:val="000000"/>
          <w:sz w:val="32"/>
          <w:szCs w:val="32"/>
        </w:rPr>
        <w:t>八、</w:t>
      </w:r>
      <w:r>
        <w:rPr>
          <w:rFonts w:hint="eastAsia" w:ascii="仿宋_GB2312" w:hAnsi="仿宋" w:eastAsia="仿宋_GB2312"/>
          <w:color w:val="000000"/>
          <w:spacing w:val="-20"/>
          <w:sz w:val="32"/>
          <w:szCs w:val="32"/>
        </w:rPr>
        <w:t>一般公共预算财政拨款“三公”经费、会议费、培训费支出情况表</w:t>
      </w:r>
    </w:p>
    <w:p w14:paraId="4B121EFE">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九、一般公共预算财政拨款机关运行经费表</w:t>
      </w:r>
    </w:p>
    <w:p w14:paraId="031FDB5A">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十、政府性基金预算支出情况表</w:t>
      </w:r>
    </w:p>
    <w:p w14:paraId="5FFFCFAF">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十一、部门管理转移支付表</w:t>
      </w:r>
    </w:p>
    <w:p w14:paraId="505BB7C1">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十二、国有资本经营预算支出情况表</w:t>
      </w:r>
    </w:p>
    <w:p w14:paraId="4129F3F1">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十三、</w:t>
      </w:r>
      <w:r>
        <w:rPr>
          <w:rFonts w:hint="eastAsia" w:ascii="仿宋_GB2312" w:hAnsi="仿宋" w:eastAsia="仿宋_GB2312"/>
          <w:color w:val="000000"/>
          <w:sz w:val="32"/>
          <w:szCs w:val="32"/>
          <w:lang w:eastAsia="zh-CN"/>
        </w:rPr>
        <w:t>单位</w:t>
      </w:r>
      <w:r>
        <w:rPr>
          <w:rFonts w:hint="eastAsia" w:ascii="仿宋_GB2312" w:hAnsi="仿宋" w:eastAsia="仿宋_GB2312"/>
          <w:color w:val="000000"/>
          <w:sz w:val="32"/>
          <w:szCs w:val="32"/>
        </w:rPr>
        <w:t>整体支出绩效目标表和项目支出绩效目标表</w:t>
      </w:r>
    </w:p>
    <w:p w14:paraId="7F85859C">
      <w:pPr>
        <w:keepNext w:val="0"/>
        <w:keepLines w:val="0"/>
        <w:pageBreakBefore w:val="0"/>
        <w:kinsoku/>
        <w:wordWrap/>
        <w:overflowPunct/>
        <w:topLinePunct w:val="0"/>
        <w:autoSpaceDE/>
        <w:autoSpaceDN/>
        <w:bidi w:val="0"/>
        <w:spacing w:line="560" w:lineRule="exact"/>
        <w:jc w:val="center"/>
        <w:textAlignment w:val="auto"/>
        <w:rPr>
          <w:rFonts w:ascii="仿宋_GB2312" w:hAnsi="宋体" w:eastAsia="仿宋_GB2312" w:cs="宋体"/>
          <w:b/>
          <w:bCs/>
          <w:kern w:val="0"/>
          <w:sz w:val="44"/>
          <w:szCs w:val="44"/>
        </w:rPr>
      </w:pPr>
    </w:p>
    <w:p w14:paraId="6AF3CE0C">
      <w:pPr>
        <w:keepNext w:val="0"/>
        <w:keepLines w:val="0"/>
        <w:pageBreakBefore w:val="0"/>
        <w:kinsoku/>
        <w:wordWrap/>
        <w:overflowPunct/>
        <w:topLinePunct w:val="0"/>
        <w:autoSpaceDE/>
        <w:autoSpaceDN/>
        <w:bidi w:val="0"/>
        <w:spacing w:line="560" w:lineRule="exact"/>
        <w:ind w:firstLine="562" w:firstLineChars="200"/>
        <w:textAlignment w:val="auto"/>
        <w:rPr>
          <w:rFonts w:ascii="仿宋_GB2312" w:hAnsi="仿宋" w:eastAsia="仿宋_GB2312" w:cs="宋体"/>
          <w:b/>
          <w:kern w:val="0"/>
          <w:sz w:val="28"/>
          <w:szCs w:val="28"/>
        </w:rPr>
        <w:sectPr>
          <w:footerReference r:id="rId4" w:type="default"/>
          <w:pgSz w:w="11906" w:h="16838"/>
          <w:pgMar w:top="1134" w:right="1134" w:bottom="1440" w:left="1276" w:header="851" w:footer="992" w:gutter="0"/>
          <w:pgNumType w:start="1"/>
          <w:cols w:space="720" w:num="1"/>
          <w:docGrid w:type="lines" w:linePitch="312" w:charSpace="0"/>
        </w:sectPr>
      </w:pPr>
    </w:p>
    <w:p w14:paraId="42E458F6">
      <w:pPr>
        <w:keepNext w:val="0"/>
        <w:keepLines w:val="0"/>
        <w:pageBreakBefore w:val="0"/>
        <w:kinsoku/>
        <w:wordWrap/>
        <w:overflowPunct/>
        <w:topLinePunct w:val="0"/>
        <w:autoSpaceDE/>
        <w:autoSpaceDN/>
        <w:bidi w:val="0"/>
        <w:spacing w:line="560" w:lineRule="exact"/>
        <w:ind w:firstLine="643" w:firstLineChars="200"/>
        <w:textAlignment w:val="auto"/>
        <w:rPr>
          <w:rFonts w:ascii="仿宋_GB2312" w:hAnsi="黑体" w:eastAsia="仿宋_GB2312" w:cs="宋体"/>
          <w:b/>
          <w:kern w:val="0"/>
          <w:sz w:val="32"/>
          <w:szCs w:val="32"/>
        </w:rPr>
      </w:pPr>
      <w:r>
        <w:rPr>
          <w:rFonts w:hint="eastAsia" w:ascii="仿宋_GB2312" w:hAnsi="黑体" w:eastAsia="仿宋_GB2312" w:cs="宋体"/>
          <w:b/>
          <w:kern w:val="0"/>
          <w:sz w:val="32"/>
          <w:szCs w:val="32"/>
        </w:rPr>
        <w:t>前言</w:t>
      </w:r>
    </w:p>
    <w:p w14:paraId="0AD557B8">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按照《中华人民共和国预算法》《中华人民共和国预算法实施条例》以及</w:t>
      </w:r>
      <w:r>
        <w:rPr>
          <w:rFonts w:ascii="仿宋_GB2312" w:hAnsi="仿宋" w:eastAsia="仿宋_GB2312" w:cs="宋体"/>
          <w:kern w:val="0"/>
          <w:sz w:val="32"/>
          <w:szCs w:val="32"/>
        </w:rPr>
        <w:t>财政部</w:t>
      </w:r>
      <w:r>
        <w:rPr>
          <w:rFonts w:hint="eastAsia" w:ascii="仿宋_GB2312" w:hAnsi="仿宋" w:eastAsia="仿宋_GB2312" w:cs="宋体"/>
          <w:kern w:val="0"/>
          <w:sz w:val="32"/>
          <w:szCs w:val="32"/>
        </w:rPr>
        <w:t>《地方预决算公开操作规程》《关于推进部门所属单位预算公开的指导意见》和《中共甘肃省委办公厅 甘肃省人民政府办公厅关于进一步推进预算公开工作的实施方案》要求，现将</w:t>
      </w:r>
      <w:r>
        <w:rPr>
          <w:rFonts w:hint="eastAsia" w:ascii="仿宋_GB2312" w:hAnsi="仿宋" w:eastAsia="仿宋_GB2312" w:cs="宋体"/>
          <w:kern w:val="0"/>
          <w:sz w:val="32"/>
          <w:szCs w:val="32"/>
          <w:lang w:eastAsia="zh-CN"/>
        </w:rPr>
        <w:t>2025</w:t>
      </w:r>
      <w:r>
        <w:rPr>
          <w:rFonts w:hint="eastAsia" w:ascii="仿宋_GB2312" w:hAnsi="仿宋" w:eastAsia="仿宋_GB2312" w:cs="宋体"/>
          <w:kern w:val="0"/>
          <w:sz w:val="32"/>
          <w:szCs w:val="32"/>
        </w:rPr>
        <w:t>年部门预算公开如下：</w:t>
      </w:r>
    </w:p>
    <w:p w14:paraId="1BFDDEEA">
      <w:pPr>
        <w:keepNext w:val="0"/>
        <w:keepLines w:val="0"/>
        <w:pageBreakBefore w:val="0"/>
        <w:kinsoku/>
        <w:wordWrap/>
        <w:overflowPunct/>
        <w:topLinePunct w:val="0"/>
        <w:autoSpaceDE/>
        <w:autoSpaceDN/>
        <w:bidi w:val="0"/>
        <w:spacing w:line="560" w:lineRule="exact"/>
        <w:ind w:firstLine="640" w:firstLineChars="200"/>
        <w:textAlignment w:val="auto"/>
        <w:rPr>
          <w:rFonts w:ascii="黑体" w:hAnsi="黑体" w:eastAsia="黑体" w:cs="宋体"/>
          <w:kern w:val="0"/>
          <w:sz w:val="32"/>
          <w:szCs w:val="32"/>
        </w:rPr>
      </w:pPr>
      <w:r>
        <w:rPr>
          <w:rFonts w:hint="eastAsia" w:ascii="黑体" w:hAnsi="黑体" w:eastAsia="黑体" w:cs="宋体"/>
          <w:kern w:val="0"/>
          <w:sz w:val="32"/>
          <w:szCs w:val="32"/>
        </w:rPr>
        <w:t>一、单位职责</w:t>
      </w:r>
    </w:p>
    <w:p w14:paraId="3D64347D">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 w:eastAsia="仿宋_GB2312" w:cs="宋体"/>
          <w:kern w:val="0"/>
          <w:sz w:val="32"/>
          <w:szCs w:val="32"/>
        </w:rPr>
      </w:pPr>
      <w:r>
        <w:rPr>
          <w:rFonts w:hint="eastAsia" w:ascii="仿宋_GB2312" w:hAnsi="仿宋" w:eastAsia="仿宋_GB2312" w:cs="宋体"/>
          <w:kern w:val="0"/>
          <w:sz w:val="32"/>
          <w:szCs w:val="32"/>
        </w:rPr>
        <w:t>1、贯彻国家统计局工作方面的法律、法规和方针、政策；拟定全县统计改革、统计建设规划；组织指导全县统计基层基础建设工作；监督检查统计法规的实施，查处统计违法行为。</w:t>
      </w:r>
    </w:p>
    <w:p w14:paraId="20861FD7">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 w:eastAsia="仿宋_GB2312" w:cs="宋体"/>
          <w:kern w:val="0"/>
          <w:sz w:val="32"/>
          <w:szCs w:val="32"/>
        </w:rPr>
      </w:pPr>
      <w:r>
        <w:rPr>
          <w:rFonts w:hint="eastAsia" w:ascii="仿宋_GB2312" w:hAnsi="仿宋" w:eastAsia="仿宋_GB2312" w:cs="宋体"/>
          <w:kern w:val="0"/>
          <w:sz w:val="32"/>
          <w:szCs w:val="32"/>
        </w:rPr>
        <w:t>2、承担辖区内农村经济社会、工业、固定资产投资、建筑业、房地产、能源、节能减排、批发零售贸易和餐饮业、劳动工资、科技、文化产业、服务业、社会、交通、运输、邮电、通讯、GDP等专业统计年报和定期报表的布置、收集、审核、汇总、上报及国民经济核算和社会发展评估工作。</w:t>
      </w:r>
    </w:p>
    <w:p w14:paraId="4235AD8E">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 w:eastAsia="仿宋_GB2312" w:cs="宋体"/>
          <w:kern w:val="0"/>
          <w:sz w:val="32"/>
          <w:szCs w:val="32"/>
        </w:rPr>
      </w:pPr>
      <w:r>
        <w:rPr>
          <w:rFonts w:hint="eastAsia" w:ascii="仿宋_GB2312" w:hAnsi="仿宋" w:eastAsia="仿宋_GB2312" w:cs="宋体"/>
          <w:kern w:val="0"/>
          <w:sz w:val="32"/>
          <w:szCs w:val="32"/>
        </w:rPr>
        <w:t>3、承担城市住户、人口、劳动力、规模以下工业和限额以下住宿餐饮业等抽样调查工作。</w:t>
      </w:r>
    </w:p>
    <w:p w14:paraId="1323D2D7">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 w:eastAsia="仿宋_GB2312" w:cs="宋体"/>
          <w:kern w:val="0"/>
          <w:sz w:val="32"/>
          <w:szCs w:val="32"/>
        </w:rPr>
      </w:pPr>
      <w:r>
        <w:rPr>
          <w:rFonts w:hint="eastAsia" w:ascii="仿宋_GB2312" w:hAnsi="仿宋" w:eastAsia="仿宋_GB2312" w:cs="宋体"/>
          <w:kern w:val="0"/>
          <w:sz w:val="32"/>
          <w:szCs w:val="32"/>
        </w:rPr>
        <w:t>4、负责组织实施国务院统一安排的重大国情国力普查工作。</w:t>
      </w:r>
    </w:p>
    <w:p w14:paraId="37FC1610">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 w:eastAsia="仿宋_GB2312" w:cs="宋体"/>
          <w:kern w:val="0"/>
          <w:sz w:val="32"/>
          <w:szCs w:val="32"/>
        </w:rPr>
      </w:pPr>
      <w:r>
        <w:rPr>
          <w:rFonts w:hint="eastAsia" w:ascii="仿宋_GB2312" w:hAnsi="仿宋" w:eastAsia="仿宋_GB2312" w:cs="宋体"/>
          <w:kern w:val="0"/>
          <w:sz w:val="32"/>
          <w:szCs w:val="32"/>
        </w:rPr>
        <w:t>5、负责本行政区域内统计工作的组织、协调、监督、指导和管理，拟定、审批地方性统计调查项目和统计制度，设计、制发地方性统计报表，检查、清理非法报表，审查、公布地方性统计资料，组织、协调联合完成跨行业统计调查任务。</w:t>
      </w:r>
    </w:p>
    <w:p w14:paraId="71DC0E26">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 w:eastAsia="仿宋_GB2312" w:cs="宋体"/>
          <w:kern w:val="0"/>
          <w:sz w:val="32"/>
          <w:szCs w:val="32"/>
        </w:rPr>
      </w:pPr>
      <w:r>
        <w:rPr>
          <w:rFonts w:hint="eastAsia" w:ascii="仿宋_GB2312" w:hAnsi="仿宋" w:eastAsia="仿宋_GB2312" w:cs="宋体"/>
          <w:kern w:val="0"/>
          <w:sz w:val="32"/>
          <w:szCs w:val="32"/>
        </w:rPr>
        <w:t>6、负责汇集统计资料、编印统计年鉴、编发统计内刊、提供统计信息、开展统计分析、进行调查研究，完成地方补充和社会委托统计调查项目，为各级领导、经济主体和社会公众提供信息、咨询、监督服务。</w:t>
      </w:r>
    </w:p>
    <w:p w14:paraId="720E48B4">
      <w:pPr>
        <w:keepNext w:val="0"/>
        <w:keepLines w:val="0"/>
        <w:pageBreakBefore w:val="0"/>
        <w:kinsoku/>
        <w:wordWrap/>
        <w:overflowPunct/>
        <w:topLinePunct w:val="0"/>
        <w:autoSpaceDE/>
        <w:autoSpaceDN/>
        <w:bidi w:val="0"/>
        <w:spacing w:line="560" w:lineRule="exact"/>
        <w:ind w:firstLine="640" w:firstLineChars="200"/>
        <w:textAlignment w:val="auto"/>
        <w:rPr>
          <w:rFonts w:ascii="黑体" w:hAnsi="黑体" w:eastAsia="黑体" w:cs="宋体"/>
          <w:kern w:val="0"/>
          <w:sz w:val="32"/>
          <w:szCs w:val="32"/>
        </w:rPr>
      </w:pPr>
      <w:r>
        <w:rPr>
          <w:rFonts w:hint="eastAsia" w:ascii="黑体" w:hAnsi="黑体" w:eastAsia="黑体" w:cs="宋体"/>
          <w:kern w:val="0"/>
          <w:sz w:val="32"/>
          <w:szCs w:val="32"/>
        </w:rPr>
        <w:t>二、机构设置情况</w:t>
      </w:r>
    </w:p>
    <w:p w14:paraId="77BC1A87">
      <w:pPr>
        <w:keepNext w:val="0"/>
        <w:keepLines w:val="0"/>
        <w:pageBreakBefore w:val="0"/>
        <w:kinsoku/>
        <w:wordWrap/>
        <w:overflowPunct/>
        <w:topLinePunct w:val="0"/>
        <w:autoSpaceDE/>
        <w:autoSpaceDN/>
        <w:bidi w:val="0"/>
        <w:spacing w:line="560" w:lineRule="exact"/>
        <w:ind w:firstLine="643" w:firstLineChars="200"/>
        <w:textAlignment w:val="auto"/>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（一）机关内设机构</w:t>
      </w:r>
    </w:p>
    <w:p w14:paraId="6CD49B8B">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 w:eastAsia="仿宋_GB2312" w:cs="宋体"/>
          <w:kern w:val="0"/>
          <w:sz w:val="32"/>
          <w:szCs w:val="32"/>
        </w:rPr>
      </w:pPr>
      <w:r>
        <w:rPr>
          <w:rFonts w:hint="eastAsia" w:ascii="仿宋_GB2312" w:hAnsi="仿宋" w:eastAsia="仿宋_GB2312" w:cs="宋体"/>
          <w:kern w:val="0"/>
          <w:sz w:val="32"/>
          <w:szCs w:val="32"/>
        </w:rPr>
        <w:t>1、人秘综合股。协助局主要负责人处理局机关日常工作；协助局领导班子成员统筹协调局机关各项工作；负责局机关党的 建设、党风廉政建设、宣传、意识形态、精神文明建设、统战、政法、综治、维稳、信访、政务、会务、提案、编制、人事、文秘、机要、保密、档案、督察、应急、招商引资及工会、共青团、妇女等工作；负责局机关规章制度建设；承办督办局党组会议、局务会议决定事项；组织实施年度目标责任和公务员、事业人员年终考核；负责局机关财务、资产、社保、后勤服务等工作；负责计划生育、退休老干部工作；负责局机关四类13项行政职权 履职工作；负责县政务服务中心统计窗口工作任务，定期更新政务“一网通办”信息；做好基本单位名录库建设；做好统计用区 划代码和城乡划分代码编制工作。负责实施国民经济核算、投入产出调查、邮政、电信、移动、联通统计调查；对全县国民经济 运行进行监测，提出宏观调控咨询建议；建立绿色发展评价体系 建设；发布统计数据，整理编辑综合性统计资料；编发《华池发 展年鉴》;编发统计月报；实施部门统计工作目标管理考核；督查部门统计基层基础建设；搜集、整理各部门统计资料，对有关统计数据进行汇总、评估、审核、上报和分析；及时提交《统计呈阅件》预警；参与大型普查和统计调查的临时性工作，承办市统计局和国家统计局庆阳调查队、县统计局交办的有关工作。</w:t>
      </w:r>
    </w:p>
    <w:p w14:paraId="4C311826">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 w:eastAsia="仿宋_GB2312" w:cs="宋体"/>
          <w:kern w:val="0"/>
          <w:sz w:val="32"/>
          <w:szCs w:val="32"/>
        </w:rPr>
      </w:pPr>
      <w:r>
        <w:rPr>
          <w:rFonts w:hint="eastAsia" w:ascii="仿宋_GB2312" w:hAnsi="仿宋" w:eastAsia="仿宋_GB2312" w:cs="宋体"/>
          <w:kern w:val="0"/>
          <w:sz w:val="32"/>
          <w:szCs w:val="32"/>
        </w:rPr>
        <w:t>2、执法监督股。负责统计系统统计行风建设；负责全县统计法律、法规的宣传、培训；开展“双随机”统计执法检查；依法组织查处违法案件；开展统计案卷评查、报送和管理工作；起草全县统计领域的规范性文件；负责全县统计领域规范性文件的审查和备案工作；组织开展统计巡查；负责局机关统计干部培训教育工作；负责全县统计从业人员继续教育工作；负责局机关干部法律知识考试组织工作；负责统计系统依法行政监督管理工作；落实全县统计系统普法任务；负责实施统计设计管理和新建部门统计调查项目管理工作；建立防范和惩治统计造假问责制、 弄虚作假党政同责责任体系；建立统计机构负责人防范和惩治统计造假、弄虚作假责任制；建立党政领导干部违规干预统计工作 记录制度；建立党政领导干部统计造假“一票否决制”;完善全 县统计执法人才库；落实统计信用管理办法和失信企业信息公示  和联合惩戒制度；做好统计从业人员统计信用档案管理工作；承 办局机关的行政复议、行政赔偿案件和行政诉讼的应诉代理工作；组织行政处罚听证工作；参与大型普查和统计调查的临时性工作，承办市统计局和国家统计局庆阳调查队、县统计局交办的有关工作。</w:t>
      </w:r>
    </w:p>
    <w:p w14:paraId="461B4C9B">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 w:eastAsia="仿宋_GB2312" w:cs="宋体"/>
          <w:kern w:val="0"/>
          <w:sz w:val="32"/>
          <w:szCs w:val="32"/>
        </w:rPr>
      </w:pPr>
      <w:r>
        <w:rPr>
          <w:rFonts w:hint="eastAsia" w:ascii="仿宋_GB2312" w:hAnsi="仿宋" w:eastAsia="仿宋_GB2312" w:cs="宋体"/>
          <w:kern w:val="0"/>
          <w:sz w:val="32"/>
          <w:szCs w:val="32"/>
        </w:rPr>
        <w:t>3、农业农村股。负责实施全县农业普查以及农林牧渔业统计、农村基本情况统计、乡镇统计网络建设及维护；进行农业经济核算；采集、汇总乡镇和涉农部门的统计资料，对有关数据进行评估分析；督查乡镇统计基层基础建设；负责对乡镇和涉农部门统计人员的培训；做好农村经济的监测预警；实施乡镇统计工作目标管理考核；参与相关专业统计和临时性调查工作，承办市统计局和国家统计局庆阳调查队、县统计局交办的有关工作。</w:t>
      </w:r>
    </w:p>
    <w:p w14:paraId="3D634DA0">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 w:eastAsia="仿宋_GB2312" w:cs="宋体"/>
          <w:kern w:val="0"/>
          <w:sz w:val="32"/>
          <w:szCs w:val="32"/>
        </w:rPr>
      </w:pPr>
      <w:r>
        <w:rPr>
          <w:rFonts w:hint="eastAsia" w:ascii="仿宋_GB2312" w:hAnsi="仿宋" w:eastAsia="仿宋_GB2312" w:cs="宋体"/>
          <w:kern w:val="0"/>
          <w:sz w:val="32"/>
          <w:szCs w:val="32"/>
        </w:rPr>
        <w:t>4、工业投资股。负责实施全县经济普查以及工业、能源统计；负责统计信息化建设和统计网络运维，抓好统计网络安全等级划分，提升统计信息网络运维管理及信息安全管理水平；对全县主要耗能行业和重点耗能企业进行统计监测；编制全县能源平衡表；搜集、整理工业和信息化等部门的统计资料，对相关统计数据进行汇总、评估和分析。负责实施全县固定资产投资、建筑业、房地产业统计以及重大建设项目调查、新开工项目入库统计；搜集、整理有关部门的统计资料，对有关统计数据进行汇总、审核、评估和分析；做好全县投资监测预警；培训指导相关业务人员工作；参与大型普查和统计调查的临时性工作，承办市统计局和国家统计局庆阳调查队、县统计局交办的有关工作。</w:t>
      </w:r>
    </w:p>
    <w:p w14:paraId="32A1DEEA">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 w:eastAsia="仿宋_GB2312" w:cs="宋体"/>
          <w:kern w:val="0"/>
          <w:sz w:val="32"/>
          <w:szCs w:val="32"/>
        </w:rPr>
      </w:pPr>
      <w:r>
        <w:rPr>
          <w:rFonts w:hint="eastAsia" w:ascii="仿宋_GB2312" w:hAnsi="仿宋" w:eastAsia="仿宋_GB2312" w:cs="宋体"/>
          <w:kern w:val="0"/>
          <w:sz w:val="32"/>
          <w:szCs w:val="32"/>
        </w:rPr>
        <w:t>5、商贸社会股。负责实施全县人口普查以及贸易、科技发展、服务业、劳动就业、社会保障、文化产业、旅游、社情民意等统计调查；搜集、整理商贸流通和社会事业等部门的统计资料，对有关统计数据进行汇总、评估和分析；培训相关业务统计人员；参与相关专业统计和临时性调查工作，承办市统计局和国家统计局庆阳调查队、县统计局交办的有关工作。</w:t>
      </w:r>
    </w:p>
    <w:p w14:paraId="154D8898">
      <w:pPr>
        <w:keepNext w:val="0"/>
        <w:keepLines w:val="0"/>
        <w:pageBreakBefore w:val="0"/>
        <w:kinsoku/>
        <w:wordWrap/>
        <w:overflowPunct/>
        <w:topLinePunct w:val="0"/>
        <w:autoSpaceDE/>
        <w:autoSpaceDN/>
        <w:bidi w:val="0"/>
        <w:spacing w:line="560" w:lineRule="exact"/>
        <w:ind w:firstLine="640" w:firstLineChars="200"/>
        <w:textAlignment w:val="auto"/>
        <w:rPr>
          <w:rFonts w:ascii="黑体" w:hAnsi="黑体" w:eastAsia="黑体" w:cs="宋体"/>
          <w:kern w:val="0"/>
          <w:sz w:val="32"/>
          <w:szCs w:val="32"/>
        </w:rPr>
      </w:pPr>
      <w:r>
        <w:rPr>
          <w:rFonts w:hint="eastAsia" w:ascii="黑体" w:hAnsi="黑体" w:eastAsia="黑体" w:cs="宋体"/>
          <w:kern w:val="0"/>
          <w:sz w:val="32"/>
          <w:szCs w:val="32"/>
        </w:rPr>
        <w:t>三、</w:t>
      </w:r>
      <w:r>
        <w:rPr>
          <w:rFonts w:hint="eastAsia" w:ascii="黑体" w:hAnsi="黑体" w:eastAsia="黑体" w:cs="宋体"/>
          <w:kern w:val="0"/>
          <w:sz w:val="32"/>
          <w:szCs w:val="32"/>
          <w:lang w:eastAsia="zh-CN"/>
        </w:rPr>
        <w:t>单位</w:t>
      </w:r>
      <w:r>
        <w:rPr>
          <w:rFonts w:hint="eastAsia" w:ascii="黑体" w:hAnsi="黑体" w:eastAsia="黑体" w:cs="宋体"/>
          <w:kern w:val="0"/>
          <w:sz w:val="32"/>
          <w:szCs w:val="32"/>
        </w:rPr>
        <w:t>收支总体情况</w:t>
      </w:r>
    </w:p>
    <w:p w14:paraId="10AF1836">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按照预算管理有关规定，</w:t>
      </w:r>
      <w:r>
        <w:rPr>
          <w:rFonts w:hint="eastAsia" w:ascii="仿宋_GB2312" w:hAnsi="仿宋" w:eastAsia="仿宋_GB2312" w:cs="宋体"/>
          <w:kern w:val="0"/>
          <w:sz w:val="32"/>
          <w:szCs w:val="32"/>
          <w:lang w:eastAsia="zh-CN"/>
        </w:rPr>
        <w:t>2025</w:t>
      </w:r>
      <w:r>
        <w:rPr>
          <w:rFonts w:hint="eastAsia" w:ascii="仿宋_GB2312" w:hAnsi="仿宋" w:eastAsia="仿宋_GB2312" w:cs="宋体"/>
          <w:kern w:val="0"/>
          <w:sz w:val="32"/>
          <w:szCs w:val="32"/>
        </w:rPr>
        <w:t>年单位收支包括机关预算和直属单位预算在内的汇总情况。</w:t>
      </w:r>
    </w:p>
    <w:p w14:paraId="02D85CDC">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lang w:eastAsia="zh-CN"/>
        </w:rPr>
        <w:t>2025</w:t>
      </w:r>
      <w:r>
        <w:rPr>
          <w:rFonts w:hint="eastAsia" w:ascii="仿宋_GB2312" w:hAnsi="仿宋" w:eastAsia="仿宋_GB2312" w:cs="宋体"/>
          <w:kern w:val="0"/>
          <w:sz w:val="32"/>
          <w:szCs w:val="32"/>
        </w:rPr>
        <w:t>年部门收支总预算</w:t>
      </w:r>
      <w:r>
        <w:rPr>
          <w:rFonts w:hint="eastAsia" w:ascii="仿宋_GB2312" w:hAnsi="仿宋" w:eastAsia="仿宋_GB2312" w:cs="宋体"/>
          <w:kern w:val="0"/>
          <w:sz w:val="32"/>
          <w:szCs w:val="32"/>
          <w:lang w:val="en-US" w:eastAsia="zh-CN"/>
        </w:rPr>
        <w:t>444.6</w:t>
      </w:r>
      <w:r>
        <w:rPr>
          <w:rFonts w:hint="eastAsia" w:ascii="仿宋_GB2312" w:hAnsi="仿宋" w:eastAsia="仿宋_GB2312" w:cs="宋体"/>
          <w:kern w:val="0"/>
          <w:sz w:val="32"/>
          <w:szCs w:val="32"/>
        </w:rPr>
        <w:t>万元。按照综合预算的原则，单位所有收入和支出均纳入部门预算管理。收入包括：一般公共预算拨款收入、政府性基金预算拨款收入、事业收入、事业单位经营收入、其他收入、使用非财政拨款结余、上年结转；支出包括：一般公共服务支出、公共安全支出、教育支出、科学技术支出、社会保障和就业支出、卫生健康支出、交通运输支出、住房保障支出、其他支出。</w:t>
      </w:r>
    </w:p>
    <w:p w14:paraId="78846D78">
      <w:pPr>
        <w:keepNext w:val="0"/>
        <w:keepLines w:val="0"/>
        <w:pageBreakBefore w:val="0"/>
        <w:kinsoku/>
        <w:wordWrap/>
        <w:overflowPunct/>
        <w:topLinePunct w:val="0"/>
        <w:autoSpaceDE/>
        <w:autoSpaceDN/>
        <w:bidi w:val="0"/>
        <w:spacing w:line="560" w:lineRule="exact"/>
        <w:ind w:firstLine="643" w:firstLineChars="200"/>
        <w:textAlignment w:val="auto"/>
        <w:rPr>
          <w:rFonts w:ascii="楷体_GB2312" w:hAnsi="楷体" w:eastAsia="楷体_GB2312"/>
          <w:sz w:val="32"/>
          <w:szCs w:val="32"/>
        </w:rPr>
      </w:pPr>
      <w:r>
        <w:rPr>
          <w:rFonts w:hint="eastAsia" w:ascii="楷体_GB2312" w:hAnsi="楷体" w:eastAsia="楷体_GB2312" w:cs="宋体"/>
          <w:b/>
          <w:bCs/>
          <w:kern w:val="0"/>
          <w:sz w:val="32"/>
          <w:szCs w:val="32"/>
        </w:rPr>
        <w:t>（一）收入预算</w:t>
      </w:r>
    </w:p>
    <w:p w14:paraId="7E3AB6EB">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ascii="仿宋_GB2312" w:hAnsi="仿宋" w:eastAsia="仿宋_GB2312"/>
          <w:sz w:val="32"/>
          <w:szCs w:val="32"/>
        </w:rPr>
      </w:pPr>
      <w:r>
        <w:rPr>
          <w:rFonts w:hint="eastAsia" w:ascii="仿宋_GB2312" w:hAnsi="仿宋" w:eastAsia="仿宋_GB2312"/>
          <w:sz w:val="32"/>
          <w:szCs w:val="32"/>
          <w:lang w:eastAsia="zh-CN"/>
        </w:rPr>
        <w:t>2025</w:t>
      </w:r>
      <w:r>
        <w:rPr>
          <w:rFonts w:hint="eastAsia" w:ascii="仿宋_GB2312" w:hAnsi="仿宋" w:eastAsia="仿宋_GB2312"/>
          <w:sz w:val="32"/>
          <w:szCs w:val="32"/>
        </w:rPr>
        <w:t>年收入预算</w:t>
      </w:r>
      <w:r>
        <w:rPr>
          <w:rFonts w:hint="eastAsia" w:ascii="仿宋_GB2312" w:hAnsi="仿宋" w:eastAsia="仿宋_GB2312"/>
          <w:sz w:val="32"/>
          <w:szCs w:val="32"/>
          <w:lang w:val="en-US" w:eastAsia="zh-CN"/>
        </w:rPr>
        <w:t>444.6</w:t>
      </w:r>
      <w:r>
        <w:rPr>
          <w:rFonts w:hint="eastAsia" w:ascii="仿宋_GB2312" w:hAnsi="仿宋" w:eastAsia="仿宋_GB2312"/>
          <w:sz w:val="32"/>
          <w:szCs w:val="32"/>
        </w:rPr>
        <w:t>万元（详见单位预算公开表1,2）。包括：</w:t>
      </w:r>
    </w:p>
    <w:p w14:paraId="745038EB">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ascii="仿宋_GB2312" w:hAnsi="仿宋" w:eastAsia="仿宋_GB2312"/>
          <w:sz w:val="32"/>
          <w:szCs w:val="32"/>
        </w:rPr>
      </w:pPr>
      <w:r>
        <w:rPr>
          <w:rFonts w:hint="eastAsia" w:ascii="仿宋_GB2312" w:hAnsi="仿宋" w:eastAsia="仿宋_GB2312"/>
          <w:sz w:val="32"/>
          <w:szCs w:val="32"/>
        </w:rPr>
        <w:t>一般公共预算收入</w:t>
      </w:r>
      <w:r>
        <w:rPr>
          <w:rFonts w:hint="eastAsia" w:ascii="仿宋_GB2312" w:hAnsi="仿宋" w:eastAsia="仿宋_GB2312"/>
          <w:sz w:val="32"/>
          <w:szCs w:val="32"/>
          <w:lang w:val="en-US" w:eastAsia="zh-CN"/>
        </w:rPr>
        <w:t>444.6</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100</w:t>
      </w:r>
      <w:r>
        <w:rPr>
          <w:rFonts w:hint="eastAsia" w:ascii="仿宋_GB2312" w:hAnsi="仿宋" w:eastAsia="仿宋_GB2312"/>
          <w:sz w:val="32"/>
          <w:szCs w:val="32"/>
        </w:rPr>
        <w:t>%。</w:t>
      </w:r>
    </w:p>
    <w:p w14:paraId="2217B580">
      <w:pPr>
        <w:keepNext w:val="0"/>
        <w:keepLines w:val="0"/>
        <w:pageBreakBefore w:val="0"/>
        <w:kinsoku/>
        <w:wordWrap/>
        <w:overflowPunct/>
        <w:topLinePunct w:val="0"/>
        <w:autoSpaceDE/>
        <w:autoSpaceDN/>
        <w:bidi w:val="0"/>
        <w:adjustRightInd w:val="0"/>
        <w:snapToGrid w:val="0"/>
        <w:spacing w:line="560" w:lineRule="exact"/>
        <w:ind w:firstLine="643" w:firstLineChars="200"/>
        <w:contextualSpacing/>
        <w:textAlignment w:val="auto"/>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（二）支出预算</w:t>
      </w:r>
    </w:p>
    <w:p w14:paraId="356FC486">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仿宋_GB2312" w:hAnsi="仿宋" w:eastAsia="仿宋_GB2312"/>
          <w:sz w:val="32"/>
          <w:szCs w:val="32"/>
        </w:rPr>
      </w:pPr>
      <w:r>
        <w:rPr>
          <w:rFonts w:hint="eastAsia" w:ascii="仿宋_GB2312" w:hAnsi="仿宋" w:eastAsia="仿宋_GB2312"/>
          <w:sz w:val="32"/>
          <w:szCs w:val="32"/>
          <w:lang w:eastAsia="zh-CN"/>
        </w:rPr>
        <w:t>2025</w:t>
      </w:r>
      <w:r>
        <w:rPr>
          <w:rFonts w:hint="eastAsia" w:ascii="仿宋_GB2312" w:hAnsi="仿宋" w:eastAsia="仿宋_GB2312"/>
          <w:sz w:val="32"/>
          <w:szCs w:val="32"/>
        </w:rPr>
        <w:t>年支出预算444.6万元（详见单位预算公开表3）。</w:t>
      </w:r>
      <w:r>
        <w:rPr>
          <w:rStyle w:val="20"/>
          <w:rFonts w:hint="default" w:hAnsi="仿宋"/>
        </w:rPr>
        <w:t>其中：基本支出</w:t>
      </w:r>
      <w:r>
        <w:rPr>
          <w:rStyle w:val="21"/>
          <w:rFonts w:hint="eastAsia" w:ascii="仿宋_GB2312" w:hAnsi="仿宋" w:eastAsia="仿宋_GB2312"/>
          <w:lang w:val="en-US" w:eastAsia="zh-CN"/>
        </w:rPr>
        <w:t>316.98</w:t>
      </w:r>
      <w:r>
        <w:rPr>
          <w:rStyle w:val="20"/>
          <w:rFonts w:hint="default" w:hAnsi="仿宋"/>
        </w:rPr>
        <w:t>万元，占</w:t>
      </w:r>
      <w:r>
        <w:rPr>
          <w:rStyle w:val="20"/>
          <w:rFonts w:hint="eastAsia" w:hAnsi="仿宋" w:eastAsia="仿宋_GB2312"/>
          <w:lang w:val="en-US" w:eastAsia="zh-CN"/>
        </w:rPr>
        <w:t>71.3</w:t>
      </w:r>
      <w:r>
        <w:rPr>
          <w:rStyle w:val="21"/>
          <w:rFonts w:hint="eastAsia" w:ascii="仿宋_GB2312" w:hAnsi="仿宋" w:eastAsia="仿宋_GB2312"/>
        </w:rPr>
        <w:t>%</w:t>
      </w:r>
      <w:r>
        <w:rPr>
          <w:rStyle w:val="20"/>
          <w:rFonts w:hint="default" w:hAnsi="仿宋"/>
        </w:rPr>
        <w:t>；项目支出</w:t>
      </w:r>
      <w:r>
        <w:rPr>
          <w:rStyle w:val="20"/>
          <w:rFonts w:hint="eastAsia" w:hAnsi="仿宋" w:eastAsia="仿宋_GB2312"/>
          <w:lang w:val="en-US" w:eastAsia="zh-CN"/>
        </w:rPr>
        <w:t>130.14</w:t>
      </w:r>
      <w:r>
        <w:rPr>
          <w:rStyle w:val="20"/>
          <w:rFonts w:hint="default" w:hAnsi="仿宋"/>
        </w:rPr>
        <w:t>万元，占</w:t>
      </w:r>
      <w:r>
        <w:rPr>
          <w:rStyle w:val="21"/>
          <w:rFonts w:hint="eastAsia" w:ascii="仿宋_GB2312" w:hAnsi="仿宋" w:eastAsia="仿宋_GB2312"/>
          <w:lang w:val="en-US" w:eastAsia="zh-CN"/>
        </w:rPr>
        <w:t>28.7</w:t>
      </w:r>
      <w:r>
        <w:rPr>
          <w:rStyle w:val="21"/>
          <w:rFonts w:hint="eastAsia" w:ascii="仿宋_GB2312" w:hAnsi="仿宋" w:eastAsia="仿宋_GB2312"/>
        </w:rPr>
        <w:t>%</w:t>
      </w:r>
      <w:r>
        <w:rPr>
          <w:rStyle w:val="20"/>
          <w:rFonts w:hint="default" w:hAnsi="仿宋"/>
        </w:rPr>
        <w:t>。</w:t>
      </w:r>
    </w:p>
    <w:p w14:paraId="7D7ADD50">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textAlignment w:val="auto"/>
        <w:rPr>
          <w:rFonts w:ascii="黑体" w:hAnsi="黑体" w:eastAsia="黑体" w:cs="宋体"/>
          <w:kern w:val="0"/>
          <w:sz w:val="32"/>
          <w:szCs w:val="32"/>
        </w:rPr>
      </w:pPr>
      <w:r>
        <w:rPr>
          <w:rFonts w:hint="eastAsia" w:ascii="黑体" w:hAnsi="黑体" w:eastAsia="黑体" w:cs="宋体"/>
          <w:kern w:val="0"/>
          <w:sz w:val="32"/>
          <w:szCs w:val="32"/>
        </w:rPr>
        <w:t>四、一般公共预算情况</w:t>
      </w:r>
    </w:p>
    <w:p w14:paraId="0F3C656B">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仿宋_GB2312" w:hAnsi="仿宋" w:eastAsia="仿宋_GB2312"/>
          <w:sz w:val="32"/>
          <w:szCs w:val="32"/>
        </w:rPr>
      </w:pPr>
      <w:r>
        <w:rPr>
          <w:rStyle w:val="21"/>
          <w:rFonts w:hint="eastAsia" w:ascii="仿宋_GB2312" w:hAnsi="仿宋" w:eastAsia="仿宋_GB2312"/>
          <w:lang w:eastAsia="zh-CN"/>
        </w:rPr>
        <w:t>2025</w:t>
      </w:r>
      <w:r>
        <w:rPr>
          <w:rStyle w:val="21"/>
          <w:rFonts w:hint="eastAsia" w:ascii="仿宋_GB2312" w:hAnsi="仿宋" w:eastAsia="仿宋_GB2312"/>
        </w:rPr>
        <w:t xml:space="preserve"> </w:t>
      </w:r>
      <w:r>
        <w:rPr>
          <w:rStyle w:val="20"/>
          <w:rFonts w:hint="default" w:hAnsi="仿宋"/>
        </w:rPr>
        <w:t>年一般公共预算当年支出</w:t>
      </w:r>
      <w:r>
        <w:rPr>
          <w:rStyle w:val="21"/>
          <w:rFonts w:hint="eastAsia" w:ascii="仿宋_GB2312" w:hAnsi="仿宋" w:eastAsia="仿宋_GB2312"/>
          <w:lang w:val="en-US" w:eastAsia="zh-CN"/>
        </w:rPr>
        <w:t>444.6</w:t>
      </w:r>
      <w:r>
        <w:rPr>
          <w:rStyle w:val="20"/>
          <w:rFonts w:hint="default" w:hAnsi="仿宋"/>
        </w:rPr>
        <w:t>万元，包括：一般公共服务支出</w:t>
      </w:r>
      <w:r>
        <w:rPr>
          <w:rStyle w:val="21"/>
          <w:rFonts w:hint="eastAsia" w:ascii="仿宋_GB2312" w:hAnsi="仿宋" w:eastAsia="仿宋_GB2312"/>
          <w:lang w:val="en-US" w:eastAsia="zh-CN"/>
        </w:rPr>
        <w:t>363.47</w:t>
      </w:r>
      <w:r>
        <w:rPr>
          <w:rStyle w:val="20"/>
          <w:rFonts w:hint="default" w:hAnsi="仿宋"/>
        </w:rPr>
        <w:t>万元、社会保障和就业支出</w:t>
      </w:r>
      <w:r>
        <w:rPr>
          <w:rStyle w:val="21"/>
          <w:rFonts w:hint="eastAsia" w:ascii="仿宋_GB2312" w:hAnsi="仿宋" w:eastAsia="仿宋_GB2312"/>
          <w:lang w:val="en-US" w:eastAsia="zh-CN"/>
        </w:rPr>
        <w:t>45.27</w:t>
      </w:r>
      <w:r>
        <w:rPr>
          <w:rStyle w:val="20"/>
          <w:rFonts w:hint="default" w:hAnsi="仿宋"/>
        </w:rPr>
        <w:t>万元、卫生健康支出</w:t>
      </w:r>
      <w:r>
        <w:rPr>
          <w:rStyle w:val="21"/>
          <w:rFonts w:hint="eastAsia" w:ascii="仿宋_GB2312" w:hAnsi="仿宋" w:eastAsia="仿宋_GB2312"/>
          <w:lang w:val="en-US" w:eastAsia="zh-CN"/>
        </w:rPr>
        <w:t>14.86</w:t>
      </w:r>
      <w:r>
        <w:rPr>
          <w:rStyle w:val="20"/>
          <w:rFonts w:hint="default" w:hAnsi="仿宋"/>
        </w:rPr>
        <w:t>万元、住房保障支出</w:t>
      </w:r>
      <w:r>
        <w:rPr>
          <w:rStyle w:val="20"/>
          <w:rFonts w:hint="eastAsia" w:hAnsi="仿宋" w:eastAsia="仿宋_GB2312"/>
          <w:lang w:val="en-US" w:eastAsia="zh-CN"/>
        </w:rPr>
        <w:t>21</w:t>
      </w:r>
      <w:r>
        <w:rPr>
          <w:rStyle w:val="20"/>
          <w:rFonts w:hint="default" w:hAnsi="仿宋"/>
        </w:rPr>
        <w:t>万元。</w:t>
      </w:r>
      <w:r>
        <w:rPr>
          <w:rFonts w:hint="eastAsia" w:ascii="仿宋_GB2312" w:hAnsi="仿宋" w:eastAsia="仿宋_GB2312"/>
          <w:sz w:val="32"/>
          <w:szCs w:val="32"/>
        </w:rPr>
        <w:t>具体安排情况如下</w:t>
      </w:r>
      <w:r>
        <w:rPr>
          <w:rFonts w:hint="eastAsia" w:ascii="仿宋_GB2312" w:hAnsi="微软雅黑" w:eastAsia="仿宋_GB2312"/>
          <w:sz w:val="32"/>
          <w:szCs w:val="32"/>
        </w:rPr>
        <w:t>（详见部门（单位）预算公开表4,5,6,7）</w:t>
      </w:r>
      <w:r>
        <w:rPr>
          <w:rFonts w:hint="eastAsia" w:ascii="仿宋_GB2312" w:hAnsi="仿宋" w:eastAsia="仿宋_GB2312"/>
          <w:sz w:val="32"/>
          <w:szCs w:val="32"/>
        </w:rPr>
        <w:t>：</w:t>
      </w:r>
    </w:p>
    <w:p w14:paraId="59725234">
      <w:pPr>
        <w:keepNext w:val="0"/>
        <w:keepLines w:val="0"/>
        <w:pageBreakBefore w:val="0"/>
        <w:kinsoku/>
        <w:wordWrap/>
        <w:overflowPunct/>
        <w:topLinePunct w:val="0"/>
        <w:autoSpaceDE/>
        <w:autoSpaceDN/>
        <w:bidi w:val="0"/>
        <w:spacing w:line="560" w:lineRule="exact"/>
        <w:ind w:firstLine="643" w:firstLineChars="200"/>
        <w:contextualSpacing/>
        <w:textAlignment w:val="auto"/>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（一）基本支出</w:t>
      </w:r>
    </w:p>
    <w:p w14:paraId="1AE41538">
      <w:pPr>
        <w:keepNext w:val="0"/>
        <w:keepLines w:val="0"/>
        <w:pageBreakBefore w:val="0"/>
        <w:widowControl/>
        <w:kinsoku/>
        <w:wordWrap/>
        <w:overflowPunct/>
        <w:topLinePunct w:val="0"/>
        <w:autoSpaceDE/>
        <w:autoSpaceDN/>
        <w:bidi w:val="0"/>
        <w:spacing w:line="560" w:lineRule="exact"/>
        <w:ind w:firstLine="640" w:firstLineChars="200"/>
        <w:contextualSpacing/>
        <w:jc w:val="left"/>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eastAsia="zh-CN"/>
        </w:rPr>
        <w:t>2025</w:t>
      </w:r>
      <w:r>
        <w:rPr>
          <w:rFonts w:hint="eastAsia" w:ascii="仿宋_GB2312" w:hAnsi="仿宋" w:eastAsia="仿宋_GB2312"/>
          <w:sz w:val="32"/>
          <w:szCs w:val="32"/>
        </w:rPr>
        <w:t>年基本支出</w:t>
      </w:r>
      <w:r>
        <w:rPr>
          <w:rFonts w:hint="eastAsia" w:ascii="仿宋_GB2312" w:hAnsi="仿宋" w:eastAsia="仿宋_GB2312"/>
          <w:sz w:val="32"/>
          <w:szCs w:val="32"/>
          <w:lang w:val="en-US" w:eastAsia="zh-CN"/>
        </w:rPr>
        <w:t>314.46</w:t>
      </w:r>
      <w:r>
        <w:rPr>
          <w:rFonts w:hint="eastAsia" w:ascii="仿宋_GB2312" w:hAnsi="仿宋" w:eastAsia="仿宋_GB2312"/>
          <w:sz w:val="32"/>
          <w:szCs w:val="32"/>
        </w:rPr>
        <w:t>万元，比</w:t>
      </w:r>
      <w:r>
        <w:rPr>
          <w:rFonts w:hint="eastAsia" w:ascii="仿宋_GB2312" w:hAnsi="仿宋" w:eastAsia="仿宋_GB2312"/>
          <w:sz w:val="32"/>
          <w:szCs w:val="32"/>
          <w:lang w:eastAsia="zh-CN"/>
        </w:rPr>
        <w:t>2024</w:t>
      </w:r>
      <w:r>
        <w:rPr>
          <w:rFonts w:hint="eastAsia" w:ascii="仿宋_GB2312" w:hAnsi="仿宋" w:eastAsia="仿宋_GB2312"/>
          <w:sz w:val="32"/>
          <w:szCs w:val="32"/>
        </w:rPr>
        <w:t>年预算减少</w:t>
      </w:r>
      <w:r>
        <w:rPr>
          <w:rFonts w:hint="eastAsia" w:ascii="仿宋_GB2312" w:hAnsi="仿宋" w:eastAsia="仿宋_GB2312"/>
          <w:sz w:val="32"/>
          <w:szCs w:val="32"/>
          <w:lang w:val="en-US" w:eastAsia="zh-CN"/>
        </w:rPr>
        <w:t>1.6</w:t>
      </w:r>
      <w:r>
        <w:rPr>
          <w:rFonts w:hint="eastAsia" w:ascii="仿宋_GB2312" w:hAnsi="仿宋" w:eastAsia="仿宋_GB2312"/>
          <w:sz w:val="32"/>
          <w:szCs w:val="32"/>
        </w:rPr>
        <w:t>万元，下降</w:t>
      </w:r>
      <w:r>
        <w:rPr>
          <w:rFonts w:hint="eastAsia" w:ascii="仿宋_GB2312" w:hAnsi="仿宋" w:eastAsia="仿宋_GB2312"/>
          <w:sz w:val="32"/>
          <w:szCs w:val="32"/>
          <w:lang w:val="en-US" w:eastAsia="zh-CN"/>
        </w:rPr>
        <w:t>0.5</w:t>
      </w:r>
      <w:r>
        <w:rPr>
          <w:rFonts w:hint="eastAsia" w:ascii="仿宋_GB2312" w:hAnsi="仿宋" w:eastAsia="仿宋_GB2312"/>
          <w:sz w:val="32"/>
          <w:szCs w:val="32"/>
        </w:rPr>
        <w:t>%，下降的主要原因是</w:t>
      </w:r>
      <w:r>
        <w:rPr>
          <w:rFonts w:hint="eastAsia" w:ascii="仿宋_GB2312" w:hAnsi="仿宋" w:eastAsia="仿宋_GB2312"/>
          <w:sz w:val="32"/>
          <w:szCs w:val="32"/>
          <w:lang w:val="en-US" w:eastAsia="zh-CN"/>
        </w:rPr>
        <w:t>2025年预算比2024年减少1人</w:t>
      </w:r>
    </w:p>
    <w:p w14:paraId="70883497">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仿宋_GB2312" w:hAnsi="仿宋" w:eastAsia="仿宋_GB2312"/>
          <w:sz w:val="32"/>
          <w:szCs w:val="32"/>
        </w:rPr>
      </w:pPr>
      <w:r>
        <w:rPr>
          <w:rFonts w:hint="eastAsia" w:ascii="仿宋_GB2312" w:hAnsi="仿宋" w:eastAsia="仿宋_GB2312"/>
          <w:sz w:val="32"/>
          <w:szCs w:val="32"/>
        </w:rPr>
        <w:t>其中：人员经费支出</w:t>
      </w:r>
      <w:r>
        <w:rPr>
          <w:rFonts w:hint="eastAsia" w:ascii="仿宋_GB2312" w:hAnsi="仿宋" w:eastAsia="仿宋_GB2312"/>
          <w:sz w:val="32"/>
          <w:szCs w:val="32"/>
          <w:lang w:val="en-US" w:eastAsia="zh-CN"/>
        </w:rPr>
        <w:t>282.19</w:t>
      </w:r>
      <w:r>
        <w:rPr>
          <w:rFonts w:hint="eastAsia" w:ascii="仿宋_GB2312" w:hAnsi="仿宋" w:eastAsia="仿宋_GB2312"/>
          <w:sz w:val="32"/>
          <w:szCs w:val="32"/>
        </w:rPr>
        <w:t>万元，主要包括：基本工资、津贴补贴、奖金、伙食补助费、绩效工资、机关事业单位基本养老保险缴费、职业年金缴费、职工基本医疗保险缴费、公务员医疗补助缴费、其他社会保障缴费、住房公积金、医疗费、其他工资福利支出、离休费、退休费、退职（役）费、抚恤金、生活补助、救济费、医疗费补助、助学金、奖励金、个人农业生产补贴、代缴社会保险费 、其他对个人和家庭的补助等。</w:t>
      </w:r>
    </w:p>
    <w:p w14:paraId="5167C9CF">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仿宋_GB2312" w:hAnsi="仿宋" w:eastAsia="仿宋_GB2312"/>
          <w:sz w:val="32"/>
          <w:szCs w:val="32"/>
        </w:rPr>
      </w:pPr>
      <w:r>
        <w:rPr>
          <w:rFonts w:hint="eastAsia" w:ascii="仿宋_GB2312" w:hAnsi="仿宋" w:eastAsia="仿宋_GB2312"/>
          <w:sz w:val="32"/>
          <w:szCs w:val="32"/>
        </w:rPr>
        <w:t>公用经费支出</w:t>
      </w:r>
      <w:r>
        <w:rPr>
          <w:rFonts w:hint="eastAsia" w:ascii="仿宋_GB2312" w:hAnsi="仿宋" w:eastAsia="仿宋_GB2312"/>
          <w:sz w:val="32"/>
          <w:szCs w:val="32"/>
          <w:lang w:val="en-US" w:eastAsia="zh-CN"/>
        </w:rPr>
        <w:t>32.27</w:t>
      </w:r>
      <w:r>
        <w:rPr>
          <w:rFonts w:hint="eastAsia" w:ascii="仿宋_GB2312" w:hAnsi="仿宋" w:eastAsia="仿宋_GB2312"/>
          <w:sz w:val="32"/>
          <w:szCs w:val="32"/>
        </w:rPr>
        <w:t>万元，主要包括：办公费、印刷费、咨询费、手续费、水费、电费、邮电费、取暖费、物业管理费、差旅费、因公出国（境）费、维修（护）费、租赁费、会议费、培训费、公务接待费、专用材料费、被装购置费、专用燃料费、劳务费、委托业务费、工会经费、福利费、公务用车运行维护费、其他交通费用、税金及附加费用、其他商品和服务支出、办公设备购置、专用设备购置等。</w:t>
      </w:r>
    </w:p>
    <w:p w14:paraId="47B79818">
      <w:pPr>
        <w:keepNext w:val="0"/>
        <w:keepLines w:val="0"/>
        <w:pageBreakBefore w:val="0"/>
        <w:kinsoku/>
        <w:wordWrap/>
        <w:overflowPunct/>
        <w:topLinePunct w:val="0"/>
        <w:autoSpaceDE/>
        <w:autoSpaceDN/>
        <w:bidi w:val="0"/>
        <w:adjustRightInd w:val="0"/>
        <w:snapToGrid w:val="0"/>
        <w:spacing w:line="560" w:lineRule="exact"/>
        <w:ind w:firstLine="643" w:firstLineChars="200"/>
        <w:contextualSpacing/>
        <w:textAlignment w:val="auto"/>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（二）项目支出</w:t>
      </w:r>
    </w:p>
    <w:p w14:paraId="2DD7CC27">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仿宋_GB2312" w:hAnsi="仿宋" w:eastAsia="仿宋_GB2312"/>
          <w:sz w:val="32"/>
          <w:szCs w:val="32"/>
        </w:rPr>
      </w:pPr>
      <w:r>
        <w:rPr>
          <w:rFonts w:hint="eastAsia" w:ascii="仿宋_GB2312" w:hAnsi="仿宋" w:eastAsia="仿宋_GB2312"/>
          <w:sz w:val="32"/>
          <w:szCs w:val="32"/>
          <w:lang w:eastAsia="zh-CN"/>
        </w:rPr>
        <w:t>2025</w:t>
      </w:r>
      <w:r>
        <w:rPr>
          <w:rFonts w:hint="eastAsia" w:ascii="仿宋_GB2312" w:hAnsi="仿宋" w:eastAsia="仿宋_GB2312"/>
          <w:sz w:val="32"/>
          <w:szCs w:val="32"/>
        </w:rPr>
        <w:t>年一般公共预算财政拨款项目支出预算</w:t>
      </w:r>
      <w:r>
        <w:rPr>
          <w:rFonts w:hint="eastAsia" w:ascii="仿宋_GB2312" w:hAnsi="仿宋" w:eastAsia="仿宋_GB2312"/>
          <w:sz w:val="32"/>
          <w:szCs w:val="32"/>
          <w:lang w:val="en-US" w:eastAsia="zh-CN"/>
        </w:rPr>
        <w:t>130.14</w:t>
      </w:r>
      <w:r>
        <w:rPr>
          <w:rFonts w:hint="eastAsia" w:ascii="仿宋_GB2312" w:hAnsi="仿宋" w:eastAsia="仿宋_GB2312"/>
          <w:sz w:val="32"/>
          <w:szCs w:val="32"/>
        </w:rPr>
        <w:t>万元，比</w:t>
      </w:r>
      <w:r>
        <w:rPr>
          <w:rFonts w:hint="eastAsia" w:ascii="仿宋_GB2312" w:hAnsi="仿宋" w:eastAsia="仿宋_GB2312"/>
          <w:sz w:val="32"/>
          <w:szCs w:val="32"/>
          <w:lang w:eastAsia="zh-CN"/>
        </w:rPr>
        <w:t>2024</w:t>
      </w:r>
      <w:r>
        <w:rPr>
          <w:rFonts w:hint="eastAsia" w:ascii="仿宋_GB2312" w:hAnsi="仿宋" w:eastAsia="仿宋_GB2312"/>
          <w:sz w:val="32"/>
          <w:szCs w:val="32"/>
        </w:rPr>
        <w:t>年预算减少</w:t>
      </w:r>
      <w:r>
        <w:rPr>
          <w:rFonts w:hint="eastAsia" w:ascii="仿宋_GB2312" w:hAnsi="仿宋" w:eastAsia="仿宋_GB2312"/>
          <w:sz w:val="32"/>
          <w:szCs w:val="32"/>
          <w:lang w:val="en-US" w:eastAsia="zh-CN"/>
        </w:rPr>
        <w:t>0.72</w:t>
      </w:r>
      <w:r>
        <w:rPr>
          <w:rFonts w:hint="eastAsia" w:ascii="仿宋_GB2312" w:hAnsi="仿宋" w:eastAsia="仿宋_GB2312"/>
          <w:sz w:val="32"/>
          <w:szCs w:val="32"/>
        </w:rPr>
        <w:t>万元，减少</w:t>
      </w:r>
      <w:r>
        <w:rPr>
          <w:rFonts w:hint="eastAsia" w:ascii="仿宋_GB2312" w:hAnsi="仿宋" w:eastAsia="仿宋_GB2312"/>
          <w:sz w:val="32"/>
          <w:szCs w:val="32"/>
          <w:lang w:val="en-US" w:eastAsia="zh-CN"/>
        </w:rPr>
        <w:t>0.6</w:t>
      </w:r>
      <w:r>
        <w:rPr>
          <w:rFonts w:hint="eastAsia" w:ascii="仿宋_GB2312" w:hAnsi="仿宋" w:eastAsia="仿宋_GB2312"/>
          <w:sz w:val="32"/>
          <w:szCs w:val="32"/>
        </w:rPr>
        <w:t>%，减少的主要原因是新入库企业一次性奖补</w:t>
      </w:r>
      <w:r>
        <w:rPr>
          <w:rFonts w:hint="eastAsia" w:ascii="仿宋_GB2312" w:hAnsi="仿宋" w:eastAsia="仿宋_GB2312"/>
          <w:sz w:val="32"/>
          <w:szCs w:val="32"/>
          <w:lang w:val="en-US" w:eastAsia="zh-CN"/>
        </w:rPr>
        <w:t>减少</w:t>
      </w:r>
      <w:r>
        <w:rPr>
          <w:rFonts w:hint="eastAsia" w:ascii="仿宋_GB2312" w:hAnsi="仿宋" w:eastAsia="仿宋_GB2312"/>
          <w:sz w:val="32"/>
          <w:szCs w:val="32"/>
        </w:rPr>
        <w:t>。其他项目</w:t>
      </w:r>
      <w:r>
        <w:rPr>
          <w:rFonts w:hint="eastAsia" w:ascii="仿宋_GB2312" w:hAnsi="仿宋" w:eastAsia="仿宋_GB2312"/>
          <w:sz w:val="32"/>
          <w:szCs w:val="32"/>
          <w:lang w:val="en-US" w:eastAsia="zh-CN"/>
        </w:rPr>
        <w:t>8</w:t>
      </w:r>
      <w:r>
        <w:rPr>
          <w:rFonts w:hint="eastAsia" w:ascii="仿宋_GB2312" w:hAnsi="仿宋" w:eastAsia="仿宋_GB2312"/>
          <w:sz w:val="32"/>
          <w:szCs w:val="32"/>
        </w:rPr>
        <w:t>个，主要是城乡住户“一体化”记账户补助、农产量调查和农村住户调查业务经费、新入库企业一次性奖补、“四上”企业统计人员补助、新增入库“四上”企业配发电脑、《华池发展年鉴（202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）》印刷费、第五次全国经济普查经费、劳动力调查经费。</w:t>
      </w:r>
    </w:p>
    <w:p w14:paraId="2CA5B858">
      <w:pPr>
        <w:keepNext w:val="0"/>
        <w:keepLines w:val="0"/>
        <w:pageBreakBefore w:val="0"/>
        <w:kinsoku/>
        <w:wordWrap/>
        <w:overflowPunct/>
        <w:topLinePunct w:val="0"/>
        <w:autoSpaceDE/>
        <w:autoSpaceDN/>
        <w:bidi w:val="0"/>
        <w:adjustRightInd w:val="0"/>
        <w:snapToGrid w:val="0"/>
        <w:spacing w:line="560" w:lineRule="exact"/>
        <w:ind w:firstLine="643" w:firstLineChars="200"/>
        <w:contextualSpacing/>
        <w:textAlignment w:val="auto"/>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（三）支出功能分类说明</w:t>
      </w:r>
    </w:p>
    <w:p w14:paraId="3CC969B4">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_GB2312" w:eastAsia="仿宋_GB2312"/>
          <w:color w:val="000000"/>
          <w:sz w:val="32"/>
          <w:szCs w:val="32"/>
          <w:lang w:val="en-US" w:eastAsia="zh-CN"/>
        </w:rPr>
      </w:pPr>
      <w:r>
        <w:rPr>
          <w:rFonts w:hint="eastAsia" w:ascii="仿宋_GB2312" w:hAnsi="TimesNewRomanPS-BoldMT" w:eastAsia="仿宋_GB2312"/>
          <w:bCs/>
          <w:color w:val="000000"/>
          <w:sz w:val="32"/>
          <w:szCs w:val="32"/>
        </w:rPr>
        <w:t>1</w:t>
      </w:r>
      <w:r>
        <w:rPr>
          <w:rFonts w:hint="eastAsia" w:ascii="仿宋_GB2312" w:hAnsi="TimesNewRomanPS-BoldMT" w:eastAsia="仿宋_GB2312"/>
          <w:bCs/>
          <w:color w:val="000000"/>
          <w:sz w:val="32"/>
          <w:szCs w:val="32"/>
          <w:lang w:eastAsia="zh-CN"/>
        </w:rPr>
        <w:t>、</w:t>
      </w:r>
      <w:r>
        <w:rPr>
          <w:rFonts w:hint="eastAsia" w:ascii="仿宋_GB2312" w:eastAsia="仿宋_GB2312"/>
          <w:color w:val="000000"/>
          <w:sz w:val="32"/>
          <w:szCs w:val="32"/>
        </w:rPr>
        <w:t>一般公共服务（类）</w:t>
      </w:r>
      <w:r>
        <w:rPr>
          <w:rFonts w:hint="eastAsia" w:ascii="仿宋_GB2312" w:eastAsia="仿宋_GB2312"/>
          <w:color w:val="000000"/>
          <w:sz w:val="32"/>
          <w:szCs w:val="32"/>
          <w:lang w:val="en-US" w:eastAsia="zh-CN"/>
        </w:rPr>
        <w:t>统计信息事务</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行政运行</w:t>
      </w:r>
      <w:r>
        <w:rPr>
          <w:rFonts w:hint="eastAsia" w:ascii="仿宋_GB2312" w:eastAsia="仿宋_GB2312"/>
          <w:color w:val="000000"/>
          <w:sz w:val="32"/>
          <w:szCs w:val="32"/>
        </w:rPr>
        <w:t>（项）</w:t>
      </w:r>
      <w:r>
        <w:rPr>
          <w:rFonts w:hint="eastAsia" w:ascii="仿宋_GB2312" w:hAnsi="TimesNewRomanPSMT" w:eastAsia="仿宋_GB2312"/>
          <w:color w:val="000000"/>
          <w:sz w:val="32"/>
          <w:szCs w:val="32"/>
        </w:rPr>
        <w:t>202</w:t>
      </w:r>
      <w:r>
        <w:rPr>
          <w:rFonts w:hint="eastAsia" w:ascii="仿宋_GB2312" w:hAnsi="TimesNewRomanPSMT" w:eastAsia="仿宋_GB2312"/>
          <w:color w:val="000000"/>
          <w:sz w:val="32"/>
          <w:szCs w:val="32"/>
          <w:lang w:val="en-US" w:eastAsia="zh-CN"/>
        </w:rPr>
        <w:t>5</w:t>
      </w:r>
      <w:r>
        <w:rPr>
          <w:rFonts w:hint="eastAsia" w:ascii="仿宋_GB2312" w:hAnsi="TimesNewRomanPSMT" w:eastAsia="仿宋_GB2312"/>
          <w:color w:val="000000"/>
          <w:sz w:val="32"/>
          <w:szCs w:val="32"/>
        </w:rPr>
        <w:t xml:space="preserve"> </w:t>
      </w:r>
      <w:r>
        <w:rPr>
          <w:rFonts w:hint="eastAsia" w:ascii="仿宋_GB2312" w:eastAsia="仿宋_GB2312"/>
          <w:color w:val="000000"/>
          <w:sz w:val="32"/>
          <w:szCs w:val="32"/>
        </w:rPr>
        <w:t>年预算数为</w:t>
      </w:r>
      <w:r>
        <w:rPr>
          <w:rFonts w:hint="eastAsia" w:ascii="仿宋_GB2312" w:hAnsi="TimesNewRomanPSMT" w:eastAsia="仿宋_GB2312"/>
          <w:color w:val="000000"/>
          <w:sz w:val="32"/>
          <w:szCs w:val="32"/>
          <w:lang w:val="en-US" w:eastAsia="zh-CN"/>
        </w:rPr>
        <w:t>233.33</w:t>
      </w:r>
      <w:r>
        <w:rPr>
          <w:rFonts w:hint="eastAsia" w:ascii="仿宋_GB2312" w:eastAsia="仿宋_GB2312"/>
          <w:color w:val="000000"/>
          <w:sz w:val="32"/>
          <w:szCs w:val="32"/>
        </w:rPr>
        <w:t>万元，比</w:t>
      </w:r>
      <w:r>
        <w:rPr>
          <w:rFonts w:hint="eastAsia" w:ascii="仿宋_GB2312" w:hAnsi="TimesNewRomanPSMT" w:eastAsia="仿宋_GB2312"/>
          <w:color w:val="000000"/>
          <w:sz w:val="32"/>
          <w:szCs w:val="32"/>
        </w:rPr>
        <w:t>202</w:t>
      </w:r>
      <w:r>
        <w:rPr>
          <w:rFonts w:hint="eastAsia" w:ascii="仿宋_GB2312" w:hAnsi="TimesNewRomanPSMT" w:eastAsia="仿宋_GB2312"/>
          <w:color w:val="000000"/>
          <w:sz w:val="32"/>
          <w:szCs w:val="32"/>
          <w:lang w:val="en-US" w:eastAsia="zh-CN"/>
        </w:rPr>
        <w:t>4</w:t>
      </w:r>
      <w:r>
        <w:rPr>
          <w:rFonts w:hint="eastAsia" w:ascii="仿宋_GB2312" w:eastAsia="仿宋_GB2312"/>
          <w:color w:val="000000"/>
          <w:sz w:val="32"/>
          <w:szCs w:val="32"/>
        </w:rPr>
        <w:t>年预算</w:t>
      </w:r>
      <w:r>
        <w:rPr>
          <w:rFonts w:hint="eastAsia" w:ascii="仿宋_GB2312" w:eastAsia="仿宋_GB2312"/>
          <w:color w:val="000000"/>
          <w:sz w:val="32"/>
          <w:szCs w:val="32"/>
          <w:lang w:val="en-US" w:eastAsia="zh-CN"/>
        </w:rPr>
        <w:t>减少4.01</w:t>
      </w:r>
      <w:r>
        <w:rPr>
          <w:rFonts w:hint="eastAsia" w:ascii="仿宋_GB2312" w:eastAsia="仿宋_GB2312"/>
          <w:color w:val="000000"/>
          <w:sz w:val="32"/>
          <w:szCs w:val="32"/>
        </w:rPr>
        <w:t>万元，主要原因是</w:t>
      </w:r>
      <w:r>
        <w:rPr>
          <w:rFonts w:hint="eastAsia" w:ascii="仿宋_GB2312" w:eastAsia="仿宋_GB2312"/>
          <w:color w:val="000000"/>
          <w:sz w:val="32"/>
          <w:szCs w:val="32"/>
          <w:lang w:val="en-US" w:eastAsia="zh-CN"/>
        </w:rPr>
        <w:t>2025年比2024年减少1人。</w:t>
      </w:r>
    </w:p>
    <w:p w14:paraId="75C941DC">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 w:eastAsia="仿宋_GB2312"/>
          <w:sz w:val="32"/>
          <w:szCs w:val="32"/>
          <w:lang w:val="en-US" w:eastAsia="zh-CN"/>
        </w:rPr>
      </w:pPr>
      <w:r>
        <w:rPr>
          <w:rFonts w:hint="eastAsia" w:ascii="仿宋_GB2312" w:eastAsia="仿宋_GB2312"/>
          <w:color w:val="000000"/>
          <w:sz w:val="32"/>
          <w:szCs w:val="32"/>
        </w:rPr>
        <w:t>2</w:t>
      </w:r>
      <w:r>
        <w:rPr>
          <w:rFonts w:hint="eastAsia" w:ascii="仿宋_GB2312" w:eastAsia="仿宋_GB2312"/>
          <w:color w:val="000000"/>
          <w:sz w:val="32"/>
          <w:szCs w:val="32"/>
          <w:lang w:eastAsia="zh-CN"/>
        </w:rPr>
        <w:t>、</w:t>
      </w:r>
      <w:r>
        <w:rPr>
          <w:rFonts w:hint="eastAsia" w:ascii="仿宋_GB2312" w:eastAsia="仿宋_GB2312"/>
          <w:color w:val="000000"/>
          <w:sz w:val="32"/>
          <w:szCs w:val="32"/>
        </w:rPr>
        <w:t>一般公共服务（类）</w:t>
      </w:r>
      <w:r>
        <w:rPr>
          <w:rFonts w:hint="eastAsia" w:ascii="仿宋_GB2312" w:eastAsia="仿宋_GB2312"/>
          <w:color w:val="000000"/>
          <w:sz w:val="32"/>
          <w:szCs w:val="32"/>
          <w:lang w:val="en-US" w:eastAsia="zh-CN"/>
        </w:rPr>
        <w:t>统计信息事务</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专项统计业务</w:t>
      </w:r>
      <w:r>
        <w:rPr>
          <w:rFonts w:hint="eastAsia" w:ascii="仿宋_GB2312" w:eastAsia="仿宋_GB2312"/>
          <w:color w:val="000000"/>
          <w:sz w:val="32"/>
          <w:szCs w:val="32"/>
        </w:rPr>
        <w:t>（项）</w:t>
      </w:r>
      <w:r>
        <w:rPr>
          <w:rFonts w:hint="eastAsia" w:ascii="仿宋_GB2312" w:hAnsi="TimesNewRomanPSMT" w:eastAsia="仿宋_GB2312"/>
          <w:color w:val="000000"/>
          <w:sz w:val="32"/>
          <w:szCs w:val="32"/>
        </w:rPr>
        <w:t>202</w:t>
      </w:r>
      <w:r>
        <w:rPr>
          <w:rFonts w:hint="eastAsia" w:ascii="仿宋_GB2312" w:hAnsi="TimesNewRomanPSMT" w:eastAsia="仿宋_GB2312"/>
          <w:color w:val="000000"/>
          <w:sz w:val="32"/>
          <w:szCs w:val="32"/>
          <w:lang w:val="en-US" w:eastAsia="zh-CN"/>
        </w:rPr>
        <w:t>5</w:t>
      </w:r>
      <w:r>
        <w:rPr>
          <w:rFonts w:hint="eastAsia" w:ascii="仿宋_GB2312" w:eastAsia="仿宋_GB2312"/>
          <w:color w:val="000000"/>
          <w:sz w:val="32"/>
          <w:szCs w:val="32"/>
        </w:rPr>
        <w:t>年预算数为</w:t>
      </w:r>
      <w:r>
        <w:rPr>
          <w:rFonts w:hint="eastAsia" w:ascii="仿宋_GB2312" w:hAnsi="TimesNewRomanPSMT" w:eastAsia="仿宋_GB2312"/>
          <w:color w:val="000000"/>
          <w:sz w:val="32"/>
          <w:szCs w:val="32"/>
          <w:lang w:val="en-US" w:eastAsia="zh-CN"/>
        </w:rPr>
        <w:t>130.14</w:t>
      </w:r>
      <w:r>
        <w:rPr>
          <w:rFonts w:hint="eastAsia" w:ascii="仿宋_GB2312" w:eastAsia="仿宋_GB2312"/>
          <w:color w:val="000000"/>
          <w:sz w:val="32"/>
          <w:szCs w:val="32"/>
        </w:rPr>
        <w:t>万元，比</w:t>
      </w:r>
      <w:r>
        <w:rPr>
          <w:rFonts w:hint="eastAsia" w:ascii="仿宋_GB2312" w:hAnsi="TimesNewRomanPSMT" w:eastAsia="仿宋_GB2312"/>
          <w:color w:val="000000"/>
          <w:sz w:val="32"/>
          <w:szCs w:val="32"/>
        </w:rPr>
        <w:t>202</w:t>
      </w:r>
      <w:r>
        <w:rPr>
          <w:rFonts w:hint="eastAsia" w:ascii="仿宋_GB2312" w:hAnsi="TimesNewRomanPSMT" w:eastAsia="仿宋_GB2312"/>
          <w:color w:val="000000"/>
          <w:sz w:val="32"/>
          <w:szCs w:val="32"/>
          <w:lang w:val="en-US" w:eastAsia="zh-CN"/>
        </w:rPr>
        <w:t>4</w:t>
      </w:r>
      <w:r>
        <w:rPr>
          <w:rFonts w:hint="eastAsia" w:ascii="仿宋_GB2312" w:eastAsia="仿宋_GB2312"/>
          <w:color w:val="000000"/>
          <w:sz w:val="32"/>
          <w:szCs w:val="32"/>
        </w:rPr>
        <w:t>年预算</w:t>
      </w:r>
      <w:r>
        <w:rPr>
          <w:rFonts w:hint="eastAsia" w:ascii="仿宋_GB2312" w:eastAsia="仿宋_GB2312"/>
          <w:color w:val="000000"/>
          <w:sz w:val="32"/>
          <w:szCs w:val="32"/>
          <w:lang w:val="en-US" w:eastAsia="zh-CN"/>
        </w:rPr>
        <w:t>减少0.72</w:t>
      </w:r>
      <w:r>
        <w:rPr>
          <w:rFonts w:hint="eastAsia" w:ascii="仿宋_GB2312" w:eastAsia="仿宋_GB2312"/>
          <w:color w:val="000000"/>
          <w:sz w:val="32"/>
          <w:szCs w:val="32"/>
        </w:rPr>
        <w:t>万元，主要原因是</w:t>
      </w:r>
      <w:r>
        <w:rPr>
          <w:rFonts w:hint="eastAsia" w:ascii="仿宋_GB2312" w:hAnsi="仿宋" w:eastAsia="仿宋_GB2312"/>
          <w:sz w:val="32"/>
          <w:szCs w:val="32"/>
          <w:lang w:val="en-US" w:eastAsia="zh-CN"/>
        </w:rPr>
        <w:t>新入库企业一次性奖补减少。</w:t>
      </w:r>
    </w:p>
    <w:p w14:paraId="6ADE1E15">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3、社会保障和就业</w:t>
      </w:r>
      <w:r>
        <w:rPr>
          <w:rFonts w:hint="eastAsia" w:ascii="仿宋_GB2312" w:eastAsia="仿宋_GB2312"/>
          <w:color w:val="000000"/>
          <w:sz w:val="32"/>
          <w:szCs w:val="32"/>
        </w:rPr>
        <w:t>（类）行政事业单位养老（款）机关事业单位基本养老保险缴费（项）</w:t>
      </w:r>
      <w:r>
        <w:rPr>
          <w:rFonts w:hint="eastAsia" w:ascii="仿宋_GB2312" w:hAnsi="TimesNewRomanPSMT" w:eastAsia="仿宋_GB2312"/>
          <w:color w:val="000000"/>
          <w:sz w:val="32"/>
          <w:szCs w:val="32"/>
        </w:rPr>
        <w:t>202</w:t>
      </w:r>
      <w:r>
        <w:rPr>
          <w:rFonts w:hint="eastAsia" w:ascii="仿宋_GB2312" w:hAnsi="TimesNewRomanPSMT" w:eastAsia="仿宋_GB2312"/>
          <w:color w:val="000000"/>
          <w:sz w:val="32"/>
          <w:szCs w:val="32"/>
          <w:lang w:val="en-US" w:eastAsia="zh-CN"/>
        </w:rPr>
        <w:t>5</w:t>
      </w:r>
      <w:r>
        <w:rPr>
          <w:rFonts w:hint="eastAsia" w:ascii="仿宋_GB2312" w:eastAsia="仿宋_GB2312"/>
          <w:color w:val="000000"/>
          <w:sz w:val="32"/>
          <w:szCs w:val="32"/>
        </w:rPr>
        <w:t>年预算数为</w:t>
      </w:r>
      <w:r>
        <w:rPr>
          <w:rFonts w:hint="eastAsia" w:ascii="仿宋_GB2312" w:hAnsi="TimesNewRomanPSMT" w:eastAsia="仿宋_GB2312"/>
          <w:color w:val="000000"/>
          <w:sz w:val="32"/>
          <w:szCs w:val="32"/>
          <w:lang w:val="en-US" w:eastAsia="zh-CN"/>
        </w:rPr>
        <w:t>28.01</w:t>
      </w:r>
      <w:r>
        <w:rPr>
          <w:rFonts w:hint="eastAsia" w:ascii="仿宋_GB2312" w:eastAsia="仿宋_GB2312"/>
          <w:color w:val="000000"/>
          <w:sz w:val="32"/>
          <w:szCs w:val="32"/>
        </w:rPr>
        <w:t>万元，比</w:t>
      </w:r>
      <w:r>
        <w:rPr>
          <w:rFonts w:hint="eastAsia" w:ascii="仿宋_GB2312" w:hAnsi="TimesNewRomanPSMT" w:eastAsia="仿宋_GB2312"/>
          <w:color w:val="000000"/>
          <w:sz w:val="32"/>
          <w:szCs w:val="32"/>
        </w:rPr>
        <w:t>202</w:t>
      </w:r>
      <w:r>
        <w:rPr>
          <w:rFonts w:hint="eastAsia" w:ascii="仿宋_GB2312" w:hAnsi="TimesNewRomanPSMT" w:eastAsia="仿宋_GB2312"/>
          <w:color w:val="000000"/>
          <w:sz w:val="32"/>
          <w:szCs w:val="32"/>
          <w:lang w:val="en-US" w:eastAsia="zh-CN"/>
        </w:rPr>
        <w:t>4</w:t>
      </w:r>
      <w:r>
        <w:rPr>
          <w:rFonts w:hint="eastAsia" w:ascii="仿宋_GB2312" w:eastAsia="仿宋_GB2312"/>
          <w:color w:val="000000"/>
          <w:sz w:val="32"/>
          <w:szCs w:val="32"/>
        </w:rPr>
        <w:t>年预算增加</w:t>
      </w:r>
      <w:r>
        <w:rPr>
          <w:rFonts w:hint="eastAsia" w:ascii="仿宋_GB2312" w:eastAsia="仿宋_GB2312"/>
          <w:color w:val="000000"/>
          <w:sz w:val="32"/>
          <w:szCs w:val="32"/>
          <w:lang w:val="en-US" w:eastAsia="zh-CN"/>
        </w:rPr>
        <w:t>0.45</w:t>
      </w:r>
      <w:r>
        <w:rPr>
          <w:rFonts w:hint="eastAsia" w:ascii="仿宋_GB2312" w:eastAsia="仿宋_GB2312"/>
          <w:color w:val="000000"/>
          <w:sz w:val="32"/>
          <w:szCs w:val="32"/>
        </w:rPr>
        <w:t>万元，主要原因是</w:t>
      </w:r>
      <w:r>
        <w:rPr>
          <w:rFonts w:hint="eastAsia" w:ascii="仿宋_GB2312" w:eastAsia="仿宋_GB2312"/>
          <w:color w:val="000000"/>
          <w:sz w:val="32"/>
          <w:szCs w:val="32"/>
          <w:lang w:val="en-US" w:eastAsia="zh-CN"/>
        </w:rPr>
        <w:t>2025年养老保险核定基数比2024年增多。</w:t>
      </w:r>
    </w:p>
    <w:p w14:paraId="71861F6E">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4、社会保障和就业</w:t>
      </w:r>
      <w:r>
        <w:rPr>
          <w:rFonts w:hint="eastAsia" w:ascii="仿宋_GB2312" w:eastAsia="仿宋_GB2312"/>
          <w:color w:val="000000"/>
          <w:sz w:val="32"/>
          <w:szCs w:val="32"/>
        </w:rPr>
        <w:t>（类）行政事业单位养老（款）机关事业单位职业年金缴费（项）</w:t>
      </w:r>
      <w:r>
        <w:rPr>
          <w:rFonts w:hint="eastAsia" w:ascii="仿宋_GB2312" w:hAnsi="TimesNewRomanPSMT" w:eastAsia="仿宋_GB2312"/>
          <w:color w:val="000000"/>
          <w:sz w:val="32"/>
          <w:szCs w:val="32"/>
        </w:rPr>
        <w:t>202</w:t>
      </w:r>
      <w:r>
        <w:rPr>
          <w:rFonts w:hint="eastAsia" w:ascii="仿宋_GB2312" w:hAnsi="TimesNewRomanPSMT" w:eastAsia="仿宋_GB2312"/>
          <w:color w:val="000000"/>
          <w:sz w:val="32"/>
          <w:szCs w:val="32"/>
          <w:lang w:val="en-US" w:eastAsia="zh-CN"/>
        </w:rPr>
        <w:t>5</w:t>
      </w:r>
      <w:r>
        <w:rPr>
          <w:rFonts w:hint="eastAsia" w:ascii="仿宋_GB2312" w:eastAsia="仿宋_GB2312"/>
          <w:color w:val="000000"/>
          <w:sz w:val="32"/>
          <w:szCs w:val="32"/>
        </w:rPr>
        <w:t>年预算数为</w:t>
      </w:r>
      <w:r>
        <w:rPr>
          <w:rFonts w:hint="eastAsia" w:ascii="仿宋_GB2312" w:hAnsi="TimesNewRomanPSMT" w:eastAsia="仿宋_GB2312"/>
          <w:color w:val="000000"/>
          <w:sz w:val="32"/>
          <w:szCs w:val="32"/>
          <w:lang w:val="en-US" w:eastAsia="zh-CN"/>
        </w:rPr>
        <w:t>14</w:t>
      </w:r>
      <w:r>
        <w:rPr>
          <w:rFonts w:hint="eastAsia" w:ascii="仿宋_GB2312" w:eastAsia="仿宋_GB2312"/>
          <w:color w:val="000000"/>
          <w:sz w:val="32"/>
          <w:szCs w:val="32"/>
        </w:rPr>
        <w:t>万元，比</w:t>
      </w:r>
      <w:r>
        <w:rPr>
          <w:rFonts w:hint="eastAsia" w:ascii="仿宋_GB2312" w:hAnsi="TimesNewRomanPSMT" w:eastAsia="仿宋_GB2312"/>
          <w:color w:val="000000"/>
          <w:sz w:val="32"/>
          <w:szCs w:val="32"/>
        </w:rPr>
        <w:t>202</w:t>
      </w:r>
      <w:r>
        <w:rPr>
          <w:rFonts w:hint="eastAsia" w:ascii="仿宋_GB2312" w:hAnsi="TimesNewRomanPSMT" w:eastAsia="仿宋_GB2312"/>
          <w:color w:val="000000"/>
          <w:sz w:val="32"/>
          <w:szCs w:val="32"/>
          <w:lang w:val="en-US" w:eastAsia="zh-CN"/>
        </w:rPr>
        <w:t>4</w:t>
      </w:r>
      <w:r>
        <w:rPr>
          <w:rFonts w:hint="eastAsia" w:ascii="仿宋_GB2312" w:eastAsia="仿宋_GB2312"/>
          <w:color w:val="000000"/>
          <w:sz w:val="32"/>
          <w:szCs w:val="32"/>
        </w:rPr>
        <w:t xml:space="preserve">年预算增加 </w:t>
      </w:r>
      <w:r>
        <w:rPr>
          <w:rFonts w:hint="eastAsia" w:ascii="仿宋_GB2312" w:hAnsi="TimesNewRomanPSMT" w:eastAsia="仿宋_GB2312"/>
          <w:color w:val="000000"/>
          <w:sz w:val="32"/>
          <w:szCs w:val="32"/>
          <w:lang w:val="en-US" w:eastAsia="zh-CN"/>
        </w:rPr>
        <w:t>0.22</w:t>
      </w:r>
      <w:r>
        <w:rPr>
          <w:rFonts w:hint="eastAsia" w:ascii="仿宋_GB2312" w:eastAsia="仿宋_GB2312"/>
          <w:color w:val="000000"/>
          <w:sz w:val="32"/>
          <w:szCs w:val="32"/>
        </w:rPr>
        <w:t>万元， 主要原因是</w:t>
      </w:r>
      <w:r>
        <w:rPr>
          <w:rFonts w:hint="eastAsia" w:ascii="仿宋_GB2312" w:eastAsia="仿宋_GB2312"/>
          <w:color w:val="000000"/>
          <w:sz w:val="32"/>
          <w:szCs w:val="32"/>
          <w:lang w:val="en-US" w:eastAsia="zh-CN"/>
        </w:rPr>
        <w:t>2025年</w:t>
      </w:r>
      <w:r>
        <w:rPr>
          <w:rFonts w:hint="eastAsia" w:ascii="仿宋_GB2312" w:eastAsia="仿宋_GB2312"/>
          <w:color w:val="000000"/>
          <w:sz w:val="32"/>
          <w:szCs w:val="32"/>
        </w:rPr>
        <w:t>职业年金</w:t>
      </w:r>
      <w:r>
        <w:rPr>
          <w:rFonts w:hint="eastAsia" w:ascii="仿宋_GB2312" w:eastAsia="仿宋_GB2312"/>
          <w:color w:val="000000"/>
          <w:sz w:val="32"/>
          <w:szCs w:val="32"/>
          <w:lang w:val="en-US" w:eastAsia="zh-CN"/>
        </w:rPr>
        <w:t>核定基数比2024年增多。</w:t>
      </w:r>
    </w:p>
    <w:p w14:paraId="00E2F6E2">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5、社会保障和就业</w:t>
      </w:r>
      <w:r>
        <w:rPr>
          <w:rFonts w:hint="eastAsia" w:ascii="仿宋_GB2312" w:eastAsia="仿宋_GB2312"/>
          <w:color w:val="000000"/>
          <w:sz w:val="32"/>
          <w:szCs w:val="32"/>
        </w:rPr>
        <w:t>（类）</w:t>
      </w:r>
      <w:r>
        <w:rPr>
          <w:rFonts w:hint="eastAsia" w:ascii="仿宋_GB2312" w:eastAsia="仿宋_GB2312"/>
          <w:color w:val="000000"/>
          <w:sz w:val="32"/>
          <w:szCs w:val="32"/>
          <w:lang w:val="en-US" w:eastAsia="zh-CN"/>
        </w:rPr>
        <w:t>其他社会保障和就业</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其他社会保障和就业</w:t>
      </w:r>
      <w:r>
        <w:rPr>
          <w:rFonts w:hint="eastAsia" w:ascii="仿宋_GB2312" w:eastAsia="仿宋_GB2312"/>
          <w:color w:val="000000"/>
          <w:sz w:val="32"/>
          <w:szCs w:val="32"/>
        </w:rPr>
        <w:t>（项）</w:t>
      </w:r>
      <w:r>
        <w:rPr>
          <w:rFonts w:hint="eastAsia" w:ascii="仿宋_GB2312" w:hAnsi="TimesNewRomanPSMT" w:eastAsia="仿宋_GB2312"/>
          <w:color w:val="000000"/>
          <w:sz w:val="32"/>
          <w:szCs w:val="32"/>
        </w:rPr>
        <w:t>202</w:t>
      </w:r>
      <w:r>
        <w:rPr>
          <w:rFonts w:hint="eastAsia" w:ascii="仿宋_GB2312" w:hAnsi="TimesNewRomanPSMT" w:eastAsia="仿宋_GB2312"/>
          <w:color w:val="000000"/>
          <w:sz w:val="32"/>
          <w:szCs w:val="32"/>
          <w:lang w:val="en-US" w:eastAsia="zh-CN"/>
        </w:rPr>
        <w:t>5</w:t>
      </w:r>
      <w:r>
        <w:rPr>
          <w:rFonts w:hint="eastAsia" w:ascii="仿宋_GB2312" w:eastAsia="仿宋_GB2312"/>
          <w:color w:val="000000"/>
          <w:sz w:val="32"/>
          <w:szCs w:val="32"/>
        </w:rPr>
        <w:t>年预算数为</w:t>
      </w:r>
      <w:r>
        <w:rPr>
          <w:rFonts w:hint="eastAsia" w:ascii="仿宋_GB2312" w:hAnsi="TimesNewRomanPSMT" w:eastAsia="仿宋_GB2312"/>
          <w:color w:val="000000"/>
          <w:sz w:val="32"/>
          <w:szCs w:val="32"/>
          <w:lang w:val="en-US" w:eastAsia="zh-CN"/>
        </w:rPr>
        <w:t>3.26</w:t>
      </w:r>
      <w:r>
        <w:rPr>
          <w:rFonts w:hint="eastAsia" w:ascii="仿宋_GB2312" w:eastAsia="仿宋_GB2312"/>
          <w:color w:val="000000"/>
          <w:sz w:val="32"/>
          <w:szCs w:val="32"/>
        </w:rPr>
        <w:t>万元，比</w:t>
      </w:r>
      <w:r>
        <w:rPr>
          <w:rFonts w:hint="eastAsia" w:ascii="仿宋_GB2312" w:hAnsi="TimesNewRomanPSMT" w:eastAsia="仿宋_GB2312"/>
          <w:color w:val="000000"/>
          <w:sz w:val="32"/>
          <w:szCs w:val="32"/>
        </w:rPr>
        <w:t>202</w:t>
      </w:r>
      <w:r>
        <w:rPr>
          <w:rFonts w:hint="eastAsia" w:ascii="仿宋_GB2312" w:hAnsi="TimesNewRomanPSMT" w:eastAsia="仿宋_GB2312"/>
          <w:color w:val="000000"/>
          <w:sz w:val="32"/>
          <w:szCs w:val="32"/>
          <w:lang w:val="en-US" w:eastAsia="zh-CN"/>
        </w:rPr>
        <w:t>4</w:t>
      </w:r>
      <w:r>
        <w:rPr>
          <w:rFonts w:hint="eastAsia" w:ascii="仿宋_GB2312" w:eastAsia="仿宋_GB2312"/>
          <w:color w:val="000000"/>
          <w:sz w:val="32"/>
          <w:szCs w:val="32"/>
        </w:rPr>
        <w:t>年预算1.46增加</w:t>
      </w:r>
      <w:r>
        <w:rPr>
          <w:rFonts w:hint="eastAsia" w:ascii="仿宋_GB2312" w:eastAsia="仿宋_GB2312"/>
          <w:color w:val="000000"/>
          <w:sz w:val="32"/>
          <w:szCs w:val="32"/>
          <w:lang w:val="en-US" w:eastAsia="zh-CN"/>
        </w:rPr>
        <w:t>1.8</w:t>
      </w:r>
      <w:r>
        <w:rPr>
          <w:rFonts w:hint="eastAsia" w:ascii="仿宋_GB2312" w:eastAsia="仿宋_GB2312"/>
          <w:color w:val="000000"/>
          <w:sz w:val="32"/>
          <w:szCs w:val="32"/>
        </w:rPr>
        <w:t>万元，主要原因是</w:t>
      </w:r>
      <w:r>
        <w:rPr>
          <w:rFonts w:hint="eastAsia" w:ascii="仿宋_GB2312" w:eastAsia="仿宋_GB2312"/>
          <w:color w:val="000000"/>
          <w:sz w:val="32"/>
          <w:szCs w:val="32"/>
          <w:lang w:val="en-US" w:eastAsia="zh-CN"/>
        </w:rPr>
        <w:t>2025年增加残疾人保障金预算。</w:t>
      </w:r>
    </w:p>
    <w:p w14:paraId="3660EB28">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6、卫生健康</w:t>
      </w:r>
      <w:r>
        <w:rPr>
          <w:rFonts w:hint="eastAsia" w:ascii="仿宋_GB2312" w:eastAsia="仿宋_GB2312"/>
          <w:color w:val="000000"/>
          <w:sz w:val="32"/>
          <w:szCs w:val="32"/>
        </w:rPr>
        <w:t>（类）</w:t>
      </w:r>
      <w:r>
        <w:rPr>
          <w:rFonts w:hint="eastAsia" w:ascii="仿宋_GB2312" w:eastAsia="仿宋_GB2312"/>
          <w:color w:val="000000"/>
          <w:sz w:val="32"/>
          <w:szCs w:val="32"/>
          <w:lang w:val="en-US" w:eastAsia="zh-CN"/>
        </w:rPr>
        <w:t>行政事业单位医疗</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行政单位医疗</w:t>
      </w:r>
      <w:r>
        <w:rPr>
          <w:rFonts w:hint="eastAsia" w:ascii="仿宋_GB2312" w:eastAsia="仿宋_GB2312"/>
          <w:color w:val="000000"/>
          <w:sz w:val="32"/>
          <w:szCs w:val="32"/>
        </w:rPr>
        <w:t>（项）</w:t>
      </w:r>
      <w:r>
        <w:rPr>
          <w:rFonts w:hint="eastAsia" w:ascii="仿宋_GB2312" w:hAnsi="TimesNewRomanPSMT" w:eastAsia="仿宋_GB2312"/>
          <w:color w:val="000000"/>
          <w:sz w:val="32"/>
          <w:szCs w:val="32"/>
        </w:rPr>
        <w:t>202</w:t>
      </w:r>
      <w:r>
        <w:rPr>
          <w:rFonts w:hint="eastAsia" w:ascii="仿宋_GB2312" w:hAnsi="TimesNewRomanPSMT" w:eastAsia="仿宋_GB2312"/>
          <w:color w:val="000000"/>
          <w:sz w:val="32"/>
          <w:szCs w:val="32"/>
          <w:lang w:val="en-US" w:eastAsia="zh-CN"/>
        </w:rPr>
        <w:t>5</w:t>
      </w:r>
      <w:r>
        <w:rPr>
          <w:rFonts w:hint="eastAsia" w:ascii="仿宋_GB2312" w:eastAsia="仿宋_GB2312"/>
          <w:color w:val="000000"/>
          <w:sz w:val="32"/>
          <w:szCs w:val="32"/>
        </w:rPr>
        <w:t>年预算数为</w:t>
      </w:r>
      <w:r>
        <w:rPr>
          <w:rFonts w:hint="eastAsia" w:ascii="仿宋_GB2312" w:hAnsi="TimesNewRomanPSMT" w:eastAsia="仿宋_GB2312"/>
          <w:color w:val="000000"/>
          <w:sz w:val="32"/>
          <w:szCs w:val="32"/>
          <w:lang w:val="en-US" w:eastAsia="zh-CN"/>
        </w:rPr>
        <w:t>14.86</w:t>
      </w:r>
      <w:r>
        <w:rPr>
          <w:rFonts w:hint="eastAsia" w:ascii="仿宋_GB2312" w:eastAsia="仿宋_GB2312"/>
          <w:color w:val="000000"/>
          <w:sz w:val="32"/>
          <w:szCs w:val="32"/>
        </w:rPr>
        <w:t xml:space="preserve">万元， 比 </w:t>
      </w:r>
      <w:r>
        <w:rPr>
          <w:rFonts w:hint="eastAsia" w:ascii="仿宋_GB2312" w:hAnsi="TimesNewRomanPSMT" w:eastAsia="仿宋_GB2312"/>
          <w:color w:val="000000"/>
          <w:sz w:val="32"/>
          <w:szCs w:val="32"/>
        </w:rPr>
        <w:t>202</w:t>
      </w:r>
      <w:r>
        <w:rPr>
          <w:rFonts w:hint="eastAsia" w:ascii="仿宋_GB2312" w:hAnsi="TimesNewRomanPSMT" w:eastAsia="仿宋_GB2312"/>
          <w:color w:val="000000"/>
          <w:sz w:val="32"/>
          <w:szCs w:val="32"/>
          <w:lang w:val="en-US" w:eastAsia="zh-CN"/>
        </w:rPr>
        <w:t>4</w:t>
      </w:r>
      <w:r>
        <w:rPr>
          <w:rFonts w:hint="eastAsia" w:ascii="仿宋_GB2312" w:eastAsia="仿宋_GB2312"/>
          <w:color w:val="000000"/>
          <w:sz w:val="32"/>
          <w:szCs w:val="32"/>
        </w:rPr>
        <w:t>年预算</w:t>
      </w:r>
      <w:r>
        <w:rPr>
          <w:rFonts w:hint="eastAsia" w:ascii="仿宋_GB2312" w:eastAsia="仿宋_GB2312"/>
          <w:color w:val="000000"/>
          <w:sz w:val="32"/>
          <w:szCs w:val="32"/>
          <w:lang w:val="en-US" w:eastAsia="zh-CN"/>
        </w:rPr>
        <w:t>减少</w:t>
      </w:r>
      <w:r>
        <w:rPr>
          <w:rFonts w:hint="eastAsia" w:ascii="仿宋_GB2312" w:hAnsi="TimesNewRomanPSMT" w:eastAsia="仿宋_GB2312"/>
          <w:color w:val="000000"/>
          <w:sz w:val="32"/>
          <w:szCs w:val="32"/>
          <w:lang w:val="en-US" w:eastAsia="zh-CN"/>
        </w:rPr>
        <w:t>0.39</w:t>
      </w:r>
      <w:r>
        <w:rPr>
          <w:rFonts w:hint="eastAsia" w:ascii="仿宋_GB2312" w:eastAsia="仿宋_GB2312"/>
          <w:color w:val="000000"/>
          <w:sz w:val="32"/>
          <w:szCs w:val="32"/>
        </w:rPr>
        <w:t>万元，主要原因是</w:t>
      </w:r>
      <w:r>
        <w:rPr>
          <w:rFonts w:hint="eastAsia" w:ascii="仿宋_GB2312" w:eastAsia="仿宋_GB2312"/>
          <w:color w:val="000000"/>
          <w:sz w:val="32"/>
          <w:szCs w:val="32"/>
          <w:lang w:val="en-US" w:eastAsia="zh-CN"/>
        </w:rPr>
        <w:t>2025年医疗保险核定人数比2024年减少1人。</w:t>
      </w:r>
    </w:p>
    <w:p w14:paraId="6B163554">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7、住房保障</w:t>
      </w:r>
      <w:r>
        <w:rPr>
          <w:rFonts w:hint="eastAsia" w:ascii="仿宋_GB2312" w:eastAsia="仿宋_GB2312"/>
          <w:color w:val="000000"/>
          <w:sz w:val="32"/>
          <w:szCs w:val="32"/>
        </w:rPr>
        <w:t>（类）</w:t>
      </w:r>
      <w:r>
        <w:rPr>
          <w:rFonts w:hint="eastAsia" w:ascii="仿宋_GB2312" w:eastAsia="仿宋_GB2312"/>
          <w:color w:val="000000"/>
          <w:sz w:val="32"/>
          <w:szCs w:val="32"/>
          <w:lang w:val="en-US" w:eastAsia="zh-CN"/>
        </w:rPr>
        <w:t>住房改革</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住房公积金</w:t>
      </w:r>
      <w:r>
        <w:rPr>
          <w:rFonts w:hint="eastAsia" w:ascii="仿宋_GB2312" w:eastAsia="仿宋_GB2312"/>
          <w:color w:val="000000"/>
          <w:sz w:val="32"/>
          <w:szCs w:val="32"/>
        </w:rPr>
        <w:t>（项）</w:t>
      </w:r>
      <w:r>
        <w:rPr>
          <w:rFonts w:hint="eastAsia" w:ascii="仿宋_GB2312" w:hAnsi="TimesNewRomanPSMT" w:eastAsia="仿宋_GB2312"/>
          <w:color w:val="000000"/>
          <w:sz w:val="32"/>
          <w:szCs w:val="32"/>
        </w:rPr>
        <w:t>202</w:t>
      </w:r>
      <w:r>
        <w:rPr>
          <w:rFonts w:hint="eastAsia" w:ascii="仿宋_GB2312" w:hAnsi="TimesNewRomanPSMT" w:eastAsia="仿宋_GB2312"/>
          <w:color w:val="000000"/>
          <w:sz w:val="32"/>
          <w:szCs w:val="32"/>
          <w:lang w:val="en-US" w:eastAsia="zh-CN"/>
        </w:rPr>
        <w:t>5</w:t>
      </w:r>
      <w:r>
        <w:rPr>
          <w:rFonts w:hint="eastAsia" w:ascii="仿宋_GB2312" w:eastAsia="仿宋_GB2312"/>
          <w:color w:val="000000"/>
          <w:sz w:val="32"/>
          <w:szCs w:val="32"/>
        </w:rPr>
        <w:t>年预算数为</w:t>
      </w:r>
      <w:r>
        <w:rPr>
          <w:rFonts w:hint="eastAsia" w:ascii="仿宋_GB2312" w:hAnsi="TimesNewRomanPSMT" w:eastAsia="仿宋_GB2312"/>
          <w:color w:val="000000"/>
          <w:sz w:val="32"/>
          <w:szCs w:val="32"/>
          <w:lang w:val="en-US" w:eastAsia="zh-CN"/>
        </w:rPr>
        <w:t>21</w:t>
      </w:r>
      <w:r>
        <w:rPr>
          <w:rFonts w:hint="eastAsia" w:ascii="仿宋_GB2312" w:eastAsia="仿宋_GB2312"/>
          <w:color w:val="000000"/>
          <w:sz w:val="32"/>
          <w:szCs w:val="32"/>
        </w:rPr>
        <w:t>万元，比</w:t>
      </w:r>
      <w:r>
        <w:rPr>
          <w:rFonts w:hint="eastAsia" w:ascii="仿宋_GB2312" w:hAnsi="TimesNewRomanPSMT" w:eastAsia="仿宋_GB2312"/>
          <w:color w:val="000000"/>
          <w:sz w:val="32"/>
          <w:szCs w:val="32"/>
        </w:rPr>
        <w:t>202</w:t>
      </w:r>
      <w:r>
        <w:rPr>
          <w:rFonts w:hint="eastAsia" w:ascii="仿宋_GB2312" w:hAnsi="TimesNewRomanPSMT" w:eastAsia="仿宋_GB2312"/>
          <w:color w:val="000000"/>
          <w:sz w:val="32"/>
          <w:szCs w:val="32"/>
          <w:lang w:val="en-US" w:eastAsia="zh-CN"/>
        </w:rPr>
        <w:t>4</w:t>
      </w:r>
      <w:r>
        <w:rPr>
          <w:rFonts w:hint="eastAsia" w:ascii="仿宋_GB2312" w:eastAsia="仿宋_GB2312"/>
          <w:color w:val="000000"/>
          <w:sz w:val="32"/>
          <w:szCs w:val="32"/>
        </w:rPr>
        <w:t>年预算增加</w:t>
      </w:r>
      <w:r>
        <w:rPr>
          <w:rFonts w:hint="eastAsia" w:ascii="仿宋_GB2312" w:hAnsi="TimesNewRomanPSMT" w:eastAsia="仿宋_GB2312"/>
          <w:color w:val="000000"/>
          <w:sz w:val="32"/>
          <w:szCs w:val="32"/>
          <w:lang w:val="en-US" w:eastAsia="zh-CN"/>
        </w:rPr>
        <w:t>0.33</w:t>
      </w:r>
      <w:r>
        <w:rPr>
          <w:rFonts w:hint="eastAsia" w:ascii="仿宋_GB2312" w:eastAsia="仿宋_GB2312"/>
          <w:color w:val="000000"/>
          <w:sz w:val="32"/>
          <w:szCs w:val="32"/>
        </w:rPr>
        <w:t>万元， 主要原因是</w:t>
      </w:r>
      <w:r>
        <w:rPr>
          <w:rFonts w:hint="eastAsia" w:ascii="仿宋_GB2312" w:eastAsia="仿宋_GB2312"/>
          <w:color w:val="000000"/>
          <w:sz w:val="32"/>
          <w:szCs w:val="32"/>
          <w:lang w:val="en-US" w:eastAsia="zh-CN"/>
        </w:rPr>
        <w:t>2025年预算公积金核定基数比2024年增加。</w:t>
      </w:r>
    </w:p>
    <w:p w14:paraId="0A65071F">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textAlignment w:val="auto"/>
        <w:rPr>
          <w:rFonts w:ascii="黑体" w:hAnsi="黑体" w:eastAsia="黑体" w:cs="宋体"/>
          <w:kern w:val="0"/>
          <w:sz w:val="32"/>
          <w:szCs w:val="32"/>
        </w:rPr>
      </w:pPr>
      <w:r>
        <w:rPr>
          <w:rFonts w:hint="eastAsia" w:ascii="黑体" w:hAnsi="黑体" w:eastAsia="黑体" w:cs="宋体"/>
          <w:kern w:val="0"/>
          <w:sz w:val="32"/>
          <w:szCs w:val="32"/>
        </w:rPr>
        <w:t>五、部门（单位）一般公共预算财政拨款“三公”经费、培训费、会议费等情况</w:t>
      </w:r>
    </w:p>
    <w:p w14:paraId="1A1EA64C">
      <w:pPr>
        <w:keepNext w:val="0"/>
        <w:keepLines w:val="0"/>
        <w:pageBreakBefore w:val="0"/>
        <w:kinsoku/>
        <w:wordWrap/>
        <w:overflowPunct/>
        <w:topLinePunct w:val="0"/>
        <w:autoSpaceDE/>
        <w:autoSpaceDN/>
        <w:bidi w:val="0"/>
        <w:adjustRightInd w:val="0"/>
        <w:snapToGrid w:val="0"/>
        <w:spacing w:line="560" w:lineRule="exact"/>
        <w:ind w:firstLine="643" w:firstLineChars="200"/>
        <w:contextualSpacing/>
        <w:textAlignment w:val="auto"/>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（一）“三公”经费情况说明</w:t>
      </w:r>
    </w:p>
    <w:p w14:paraId="6B52960A">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textAlignment w:val="auto"/>
        <w:rPr>
          <w:rFonts w:ascii="仿宋_GB2312" w:hAnsi="仿宋" w:eastAsia="仿宋_GB2312" w:cs="宋体"/>
          <w:b/>
          <w:kern w:val="0"/>
          <w:sz w:val="32"/>
          <w:szCs w:val="32"/>
        </w:rPr>
      </w:pPr>
      <w:r>
        <w:rPr>
          <w:rFonts w:hint="eastAsia" w:ascii="仿宋_GB2312" w:hAnsi="仿宋" w:eastAsia="仿宋_GB2312"/>
          <w:sz w:val="32"/>
          <w:szCs w:val="32"/>
        </w:rPr>
        <w:t>“三公”经费预算</w:t>
      </w:r>
      <w:r>
        <w:rPr>
          <w:rFonts w:hint="eastAsia" w:ascii="仿宋_GB2312" w:hAnsi="仿宋" w:eastAsia="仿宋_GB2312"/>
          <w:sz w:val="32"/>
          <w:szCs w:val="32"/>
          <w:lang w:val="en-US" w:eastAsia="zh-CN"/>
        </w:rPr>
        <w:t>0.178</w:t>
      </w:r>
      <w:r>
        <w:rPr>
          <w:rFonts w:hint="eastAsia" w:ascii="仿宋_GB2312" w:hAnsi="仿宋" w:eastAsia="仿宋_GB2312"/>
          <w:sz w:val="32"/>
          <w:szCs w:val="32"/>
        </w:rPr>
        <w:t>万元，较</w:t>
      </w:r>
      <w:r>
        <w:rPr>
          <w:rFonts w:hint="eastAsia" w:ascii="仿宋_GB2312" w:hAnsi="仿宋" w:eastAsia="仿宋_GB2312"/>
          <w:sz w:val="32"/>
          <w:szCs w:val="32"/>
          <w:lang w:eastAsia="zh-CN"/>
        </w:rPr>
        <w:t>2024</w:t>
      </w:r>
      <w:r>
        <w:rPr>
          <w:rFonts w:hint="eastAsia" w:ascii="仿宋_GB2312" w:hAnsi="仿宋" w:eastAsia="仿宋_GB2312"/>
          <w:sz w:val="32"/>
          <w:szCs w:val="32"/>
        </w:rPr>
        <w:t>年预算减少</w:t>
      </w:r>
      <w:r>
        <w:rPr>
          <w:rFonts w:hint="eastAsia" w:ascii="仿宋_GB2312" w:hAnsi="仿宋" w:eastAsia="仿宋_GB2312"/>
          <w:sz w:val="32"/>
          <w:szCs w:val="32"/>
          <w:lang w:val="en-US" w:eastAsia="zh-CN"/>
        </w:rPr>
        <w:t>0.002</w:t>
      </w:r>
      <w:r>
        <w:rPr>
          <w:rFonts w:hint="eastAsia" w:ascii="仿宋_GB2312" w:hAnsi="仿宋" w:eastAsia="仿宋_GB2312"/>
          <w:sz w:val="32"/>
          <w:szCs w:val="32"/>
        </w:rPr>
        <w:t>万元。</w:t>
      </w:r>
    </w:p>
    <w:p w14:paraId="2C1E118B">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仿宋_GB2312" w:hAnsi="仿宋" w:eastAsia="仿宋_GB2312"/>
          <w:sz w:val="32"/>
          <w:szCs w:val="32"/>
        </w:rPr>
      </w:pPr>
      <w:r>
        <w:rPr>
          <w:rFonts w:hint="eastAsia" w:ascii="仿宋_GB2312" w:hAnsi="仿宋" w:eastAsia="仿宋_GB2312"/>
          <w:sz w:val="32"/>
          <w:szCs w:val="32"/>
        </w:rPr>
        <w:t>1.因公出国（境）费用</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w:t>
      </w:r>
    </w:p>
    <w:p w14:paraId="0F5E9B49">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仿宋_GB2312" w:hAnsi="仿宋" w:eastAsia="仿宋_GB2312"/>
          <w:sz w:val="32"/>
          <w:szCs w:val="32"/>
        </w:rPr>
      </w:pPr>
      <w:r>
        <w:rPr>
          <w:rFonts w:hint="eastAsia" w:ascii="仿宋_GB2312" w:hAnsi="仿宋" w:eastAsia="仿宋_GB2312"/>
          <w:sz w:val="32"/>
          <w:szCs w:val="32"/>
        </w:rPr>
        <w:t>2.公务接待费</w:t>
      </w:r>
      <w:r>
        <w:rPr>
          <w:rFonts w:hint="eastAsia" w:ascii="仿宋_GB2312" w:hAnsi="仿宋" w:eastAsia="仿宋_GB2312"/>
          <w:sz w:val="32"/>
          <w:szCs w:val="32"/>
          <w:lang w:val="en-US" w:eastAsia="zh-CN"/>
        </w:rPr>
        <w:t>0.178</w:t>
      </w:r>
      <w:r>
        <w:rPr>
          <w:rFonts w:hint="eastAsia" w:ascii="仿宋_GB2312" w:hAnsi="仿宋" w:eastAsia="仿宋_GB2312"/>
          <w:sz w:val="32"/>
          <w:szCs w:val="32"/>
        </w:rPr>
        <w:t>万元，较</w:t>
      </w:r>
      <w:r>
        <w:rPr>
          <w:rFonts w:hint="eastAsia" w:ascii="仿宋_GB2312" w:hAnsi="仿宋" w:eastAsia="仿宋_GB2312"/>
          <w:sz w:val="32"/>
          <w:szCs w:val="32"/>
          <w:lang w:eastAsia="zh-CN"/>
        </w:rPr>
        <w:t>2024</w:t>
      </w:r>
      <w:r>
        <w:rPr>
          <w:rFonts w:hint="eastAsia" w:ascii="仿宋_GB2312" w:hAnsi="仿宋" w:eastAsia="仿宋_GB2312"/>
          <w:sz w:val="32"/>
          <w:szCs w:val="32"/>
        </w:rPr>
        <w:t>年预算减少</w:t>
      </w:r>
      <w:r>
        <w:rPr>
          <w:rFonts w:hint="eastAsia" w:ascii="仿宋_GB2312" w:hAnsi="仿宋" w:eastAsia="仿宋_GB2312"/>
          <w:sz w:val="32"/>
          <w:szCs w:val="32"/>
          <w:lang w:val="en-US" w:eastAsia="zh-CN"/>
        </w:rPr>
        <w:t>0.002</w:t>
      </w:r>
      <w:r>
        <w:rPr>
          <w:rFonts w:hint="eastAsia" w:ascii="仿宋_GB2312" w:hAnsi="仿宋" w:eastAsia="仿宋_GB2312"/>
          <w:sz w:val="32"/>
          <w:szCs w:val="32"/>
        </w:rPr>
        <w:t>万元，下降</w:t>
      </w:r>
      <w:r>
        <w:rPr>
          <w:rFonts w:hint="eastAsia" w:ascii="仿宋_GB2312" w:hAnsi="仿宋" w:eastAsia="仿宋_GB2312"/>
          <w:sz w:val="32"/>
          <w:szCs w:val="32"/>
          <w:lang w:val="en-US" w:eastAsia="zh-CN"/>
        </w:rPr>
        <w:t>0.01</w:t>
      </w:r>
      <w:r>
        <w:rPr>
          <w:rFonts w:hint="eastAsia" w:ascii="仿宋_GB2312" w:hAnsi="仿宋" w:eastAsia="仿宋_GB2312"/>
          <w:sz w:val="32"/>
          <w:szCs w:val="32"/>
        </w:rPr>
        <w:t>%，下降的主要原因是依据“三公”经费相关规定按照不低于3%的比例进行压减。</w:t>
      </w:r>
    </w:p>
    <w:p w14:paraId="6CC67525">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仿宋_GB2312" w:hAnsi="仿宋" w:eastAsia="仿宋_GB2312"/>
          <w:sz w:val="32"/>
          <w:szCs w:val="32"/>
        </w:rPr>
      </w:pPr>
      <w:r>
        <w:rPr>
          <w:rFonts w:hint="eastAsia" w:ascii="仿宋_GB2312" w:hAnsi="仿宋" w:eastAsia="仿宋_GB2312"/>
          <w:sz w:val="32"/>
          <w:szCs w:val="32"/>
        </w:rPr>
        <w:t>3.公务用车购置及运行维护费</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万元（其中：公务用车购置</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万元，公务用车运行维护费</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w:t>
      </w:r>
    </w:p>
    <w:p w14:paraId="3C18502F">
      <w:pPr>
        <w:keepNext w:val="0"/>
        <w:keepLines w:val="0"/>
        <w:pageBreakBefore w:val="0"/>
        <w:kinsoku/>
        <w:wordWrap/>
        <w:overflowPunct/>
        <w:topLinePunct w:val="0"/>
        <w:autoSpaceDE/>
        <w:autoSpaceDN/>
        <w:bidi w:val="0"/>
        <w:adjustRightInd w:val="0"/>
        <w:snapToGrid w:val="0"/>
        <w:spacing w:line="560" w:lineRule="exact"/>
        <w:ind w:firstLine="643" w:firstLineChars="200"/>
        <w:contextualSpacing/>
        <w:textAlignment w:val="auto"/>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（二）培训费预算情况说明</w:t>
      </w:r>
    </w:p>
    <w:p w14:paraId="7ED815EF">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仿宋_GB2312" w:hAnsi="仿宋" w:eastAsia="仿宋_GB2312"/>
          <w:sz w:val="32"/>
          <w:szCs w:val="32"/>
        </w:rPr>
      </w:pPr>
      <w:r>
        <w:rPr>
          <w:rFonts w:hint="eastAsia" w:ascii="仿宋_GB2312" w:hAnsi="仿宋" w:eastAsia="仿宋_GB2312"/>
          <w:sz w:val="32"/>
          <w:szCs w:val="32"/>
        </w:rPr>
        <w:t>4.培训费</w:t>
      </w:r>
      <w:r>
        <w:rPr>
          <w:rFonts w:hint="eastAsia" w:ascii="仿宋_GB2312" w:hAnsi="仿宋" w:eastAsia="仿宋_GB2312"/>
          <w:sz w:val="32"/>
          <w:szCs w:val="32"/>
          <w:lang w:val="en-US" w:eastAsia="zh-CN"/>
        </w:rPr>
        <w:t>1.35</w:t>
      </w:r>
      <w:r>
        <w:rPr>
          <w:rFonts w:hint="eastAsia" w:ascii="仿宋_GB2312" w:hAnsi="仿宋" w:eastAsia="仿宋_GB2312"/>
          <w:sz w:val="32"/>
          <w:szCs w:val="32"/>
        </w:rPr>
        <w:t>万元，较</w:t>
      </w:r>
      <w:r>
        <w:rPr>
          <w:rFonts w:hint="eastAsia" w:ascii="仿宋_GB2312" w:hAnsi="仿宋" w:eastAsia="仿宋_GB2312"/>
          <w:sz w:val="32"/>
          <w:szCs w:val="32"/>
          <w:lang w:eastAsia="zh-CN"/>
        </w:rPr>
        <w:t>2024</w:t>
      </w:r>
      <w:r>
        <w:rPr>
          <w:rFonts w:hint="eastAsia" w:ascii="仿宋_GB2312" w:hAnsi="仿宋" w:eastAsia="仿宋_GB2312"/>
          <w:sz w:val="32"/>
          <w:szCs w:val="32"/>
        </w:rPr>
        <w:t>年预算减少</w:t>
      </w:r>
      <w:r>
        <w:rPr>
          <w:rFonts w:hint="eastAsia" w:ascii="仿宋_GB2312" w:hAnsi="仿宋" w:eastAsia="仿宋_GB2312"/>
          <w:sz w:val="32"/>
          <w:szCs w:val="32"/>
          <w:lang w:val="en-US" w:eastAsia="zh-CN"/>
        </w:rPr>
        <w:t>0.11</w:t>
      </w:r>
      <w:r>
        <w:rPr>
          <w:rFonts w:hint="eastAsia" w:ascii="仿宋_GB2312" w:hAnsi="仿宋" w:eastAsia="仿宋_GB2312"/>
          <w:sz w:val="32"/>
          <w:szCs w:val="32"/>
        </w:rPr>
        <w:t>万元，增长下降</w:t>
      </w:r>
      <w:r>
        <w:rPr>
          <w:rFonts w:hint="eastAsia" w:ascii="仿宋_GB2312" w:hAnsi="仿宋" w:eastAsia="仿宋_GB2312"/>
          <w:sz w:val="32"/>
          <w:szCs w:val="32"/>
          <w:lang w:val="en-US" w:eastAsia="zh-CN"/>
        </w:rPr>
        <w:t>7.5</w:t>
      </w:r>
      <w:r>
        <w:rPr>
          <w:rFonts w:hint="eastAsia" w:ascii="仿宋_GB2312" w:hAnsi="仿宋" w:eastAsia="仿宋_GB2312"/>
          <w:sz w:val="32"/>
          <w:szCs w:val="32"/>
        </w:rPr>
        <w:t>%，下降的主要原因</w:t>
      </w:r>
      <w:r>
        <w:rPr>
          <w:rFonts w:hint="eastAsia" w:ascii="仿宋_GB2312" w:hAnsi="仿宋" w:eastAsia="仿宋_GB2312"/>
          <w:sz w:val="32"/>
          <w:szCs w:val="32"/>
          <w:lang w:val="en-US" w:eastAsia="zh-CN"/>
        </w:rPr>
        <w:t>是按照过紧日子的要求，压缩培训费支出</w:t>
      </w:r>
      <w:r>
        <w:rPr>
          <w:rFonts w:hint="eastAsia" w:ascii="仿宋_GB2312" w:hAnsi="仿宋" w:eastAsia="仿宋_GB2312"/>
          <w:sz w:val="32"/>
          <w:szCs w:val="32"/>
        </w:rPr>
        <w:t>。</w:t>
      </w:r>
    </w:p>
    <w:p w14:paraId="27BFF129">
      <w:pPr>
        <w:keepNext w:val="0"/>
        <w:keepLines w:val="0"/>
        <w:pageBreakBefore w:val="0"/>
        <w:kinsoku/>
        <w:wordWrap/>
        <w:overflowPunct/>
        <w:topLinePunct w:val="0"/>
        <w:autoSpaceDE/>
        <w:autoSpaceDN/>
        <w:bidi w:val="0"/>
        <w:adjustRightInd w:val="0"/>
        <w:snapToGrid w:val="0"/>
        <w:spacing w:line="560" w:lineRule="exact"/>
        <w:ind w:firstLine="643" w:firstLineChars="200"/>
        <w:contextualSpacing/>
        <w:textAlignment w:val="auto"/>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（三）会议费预算情况说明</w:t>
      </w:r>
    </w:p>
    <w:p w14:paraId="0C1AA7BE">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仿宋_GB2312" w:eastAsia="仿宋_GB2312"/>
          <w:sz w:val="32"/>
          <w:szCs w:val="32"/>
        </w:rPr>
      </w:pPr>
      <w:r>
        <w:rPr>
          <w:rFonts w:hint="eastAsia" w:ascii="仿宋_GB2312" w:hAnsi="仿宋" w:eastAsia="仿宋_GB2312"/>
          <w:sz w:val="32"/>
          <w:szCs w:val="32"/>
        </w:rPr>
        <w:t>5.会议费</w:t>
      </w:r>
      <w:r>
        <w:rPr>
          <w:rFonts w:hint="eastAsia" w:ascii="仿宋_GB2312" w:hAnsi="仿宋" w:eastAsia="仿宋_GB2312"/>
          <w:sz w:val="32"/>
          <w:szCs w:val="32"/>
          <w:lang w:val="en-US" w:eastAsia="zh-CN"/>
        </w:rPr>
        <w:t>0.72</w:t>
      </w:r>
      <w:r>
        <w:rPr>
          <w:rFonts w:hint="eastAsia" w:ascii="仿宋_GB2312" w:hAnsi="仿宋" w:eastAsia="仿宋_GB2312"/>
          <w:sz w:val="32"/>
          <w:szCs w:val="32"/>
        </w:rPr>
        <w:t>万元，较</w:t>
      </w:r>
      <w:r>
        <w:rPr>
          <w:rFonts w:hint="eastAsia" w:ascii="仿宋_GB2312" w:hAnsi="仿宋" w:eastAsia="仿宋_GB2312"/>
          <w:sz w:val="32"/>
          <w:szCs w:val="32"/>
          <w:lang w:eastAsia="zh-CN"/>
        </w:rPr>
        <w:t>2024</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持平</w:t>
      </w:r>
      <w:r>
        <w:rPr>
          <w:rFonts w:hint="eastAsia" w:ascii="仿宋_GB2312" w:hAnsi="仿宋" w:eastAsia="仿宋_GB2312"/>
          <w:sz w:val="32"/>
          <w:szCs w:val="32"/>
        </w:rPr>
        <w:t>。</w:t>
      </w:r>
    </w:p>
    <w:p w14:paraId="7D35BB7E">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textAlignment w:val="auto"/>
        <w:rPr>
          <w:rFonts w:ascii="黑体" w:hAnsi="黑体" w:eastAsia="黑体" w:cs="宋体"/>
          <w:kern w:val="0"/>
          <w:sz w:val="32"/>
          <w:szCs w:val="32"/>
        </w:rPr>
      </w:pPr>
      <w:r>
        <w:rPr>
          <w:rFonts w:hint="eastAsia" w:ascii="黑体" w:hAnsi="黑体" w:eastAsia="黑体" w:cs="宋体"/>
          <w:kern w:val="0"/>
          <w:sz w:val="32"/>
          <w:szCs w:val="32"/>
        </w:rPr>
        <w:t>六、一般公共预算财政拨款机关运行经费情况</w:t>
      </w:r>
    </w:p>
    <w:p w14:paraId="2A2D2CF6">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仿宋_GB2312" w:hAnsi="仿宋" w:eastAsia="仿宋_GB2312"/>
          <w:sz w:val="32"/>
          <w:szCs w:val="32"/>
        </w:rPr>
      </w:pPr>
      <w:r>
        <w:rPr>
          <w:rFonts w:hint="eastAsia" w:ascii="仿宋_GB2312" w:hAnsi="仿宋" w:eastAsia="仿宋_GB2312"/>
          <w:sz w:val="32"/>
          <w:szCs w:val="32"/>
        </w:rPr>
        <w:t>机关运行经费</w:t>
      </w:r>
      <w:r>
        <w:rPr>
          <w:rFonts w:hint="eastAsia" w:ascii="仿宋_GB2312" w:hAnsi="仿宋" w:eastAsia="仿宋_GB2312"/>
          <w:sz w:val="32"/>
          <w:szCs w:val="32"/>
          <w:lang w:val="en-US" w:eastAsia="zh-CN"/>
        </w:rPr>
        <w:t>22.12</w:t>
      </w:r>
      <w:r>
        <w:rPr>
          <w:rFonts w:hint="eastAsia" w:ascii="仿宋_GB2312" w:hAnsi="仿宋" w:eastAsia="仿宋_GB2312"/>
          <w:sz w:val="32"/>
          <w:szCs w:val="32"/>
        </w:rPr>
        <w:t>万元，较</w:t>
      </w:r>
      <w:r>
        <w:rPr>
          <w:rFonts w:hint="eastAsia" w:ascii="仿宋_GB2312" w:hAnsi="仿宋" w:eastAsia="仿宋_GB2312"/>
          <w:sz w:val="32"/>
          <w:szCs w:val="32"/>
          <w:lang w:eastAsia="zh-CN"/>
        </w:rPr>
        <w:t>2024</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0.86</w:t>
      </w:r>
      <w:r>
        <w:rPr>
          <w:rFonts w:hint="eastAsia" w:ascii="仿宋_GB2312" w:hAnsi="仿宋" w:eastAsia="仿宋_GB2312"/>
          <w:sz w:val="32"/>
          <w:szCs w:val="32"/>
        </w:rPr>
        <w:t xml:space="preserve"> 万元，增长</w:t>
      </w:r>
      <w:r>
        <w:rPr>
          <w:rFonts w:hint="eastAsia" w:ascii="仿宋_GB2312" w:hAnsi="仿宋" w:eastAsia="仿宋_GB2312"/>
          <w:sz w:val="32"/>
          <w:szCs w:val="32"/>
          <w:lang w:val="en-US" w:eastAsia="zh-CN"/>
        </w:rPr>
        <w:t>1.6</w:t>
      </w:r>
      <w:bookmarkStart w:id="0" w:name="_GoBack"/>
      <w:bookmarkEnd w:id="0"/>
      <w:r>
        <w:rPr>
          <w:rFonts w:hint="eastAsia" w:ascii="仿宋_GB2312" w:hAnsi="仿宋" w:eastAsia="仿宋_GB2312"/>
          <w:sz w:val="32"/>
          <w:szCs w:val="32"/>
        </w:rPr>
        <w:t>%，增长的主要原因是</w:t>
      </w:r>
      <w:r>
        <w:rPr>
          <w:rFonts w:hint="eastAsia" w:ascii="仿宋_GB2312" w:hAnsi="仿宋" w:eastAsia="仿宋_GB2312"/>
          <w:sz w:val="32"/>
          <w:szCs w:val="32"/>
          <w:lang w:val="en-US" w:eastAsia="zh-CN"/>
        </w:rPr>
        <w:t>福利费增多</w:t>
      </w:r>
      <w:r>
        <w:rPr>
          <w:rFonts w:hint="eastAsia" w:ascii="仿宋_GB2312" w:hAnsi="仿宋" w:eastAsia="仿宋_GB2312"/>
          <w:sz w:val="32"/>
          <w:szCs w:val="32"/>
        </w:rPr>
        <w:t>。</w:t>
      </w:r>
    </w:p>
    <w:p w14:paraId="57B4FFAE">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textAlignment w:val="auto"/>
        <w:rPr>
          <w:rFonts w:ascii="黑体" w:hAnsi="黑体" w:eastAsia="黑体" w:cs="宋体"/>
          <w:kern w:val="0"/>
          <w:sz w:val="32"/>
          <w:szCs w:val="32"/>
        </w:rPr>
      </w:pPr>
      <w:r>
        <w:rPr>
          <w:rFonts w:hint="eastAsia" w:ascii="黑体" w:hAnsi="黑体" w:eastAsia="黑体" w:cs="宋体"/>
          <w:kern w:val="0"/>
          <w:sz w:val="32"/>
          <w:szCs w:val="32"/>
        </w:rPr>
        <w:t>七、政府采购安排情况</w:t>
      </w:r>
    </w:p>
    <w:p w14:paraId="73FD1C8A">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仿宋_GB2312" w:hAnsi="仿宋" w:eastAsia="仿宋_GB2312"/>
          <w:sz w:val="32"/>
          <w:szCs w:val="32"/>
        </w:rPr>
      </w:pPr>
      <w:r>
        <w:rPr>
          <w:rFonts w:hint="eastAsia" w:ascii="仿宋_GB2312" w:hAnsi="仿宋" w:eastAsia="仿宋_GB2312"/>
          <w:sz w:val="32"/>
          <w:szCs w:val="32"/>
          <w:lang w:eastAsia="zh-CN"/>
        </w:rPr>
        <w:t>2025</w:t>
      </w:r>
      <w:r>
        <w:rPr>
          <w:rFonts w:hint="eastAsia" w:ascii="仿宋_GB2312" w:hAnsi="仿宋" w:eastAsia="仿宋_GB2312"/>
          <w:sz w:val="32"/>
          <w:szCs w:val="32"/>
        </w:rPr>
        <w:t>年，单位政府采购预算总额</w:t>
      </w:r>
      <w:r>
        <w:rPr>
          <w:rFonts w:hint="eastAsia" w:ascii="仿宋_GB2312" w:hAnsi="仿宋" w:eastAsia="仿宋_GB2312"/>
          <w:sz w:val="32"/>
          <w:szCs w:val="32"/>
          <w:lang w:val="en-US" w:eastAsia="zh-CN"/>
        </w:rPr>
        <w:t>25.06</w:t>
      </w:r>
      <w:r>
        <w:rPr>
          <w:rFonts w:hint="eastAsia" w:ascii="仿宋_GB2312" w:hAnsi="仿宋" w:eastAsia="仿宋_GB2312"/>
          <w:sz w:val="32"/>
          <w:szCs w:val="32"/>
        </w:rPr>
        <w:t>万元，其中：政府采购货物预算</w:t>
      </w:r>
      <w:r>
        <w:rPr>
          <w:rFonts w:hint="eastAsia" w:ascii="仿宋_GB2312" w:hAnsi="仿宋" w:eastAsia="仿宋_GB2312"/>
          <w:sz w:val="32"/>
          <w:szCs w:val="32"/>
          <w:lang w:val="en-US" w:eastAsia="zh-CN"/>
        </w:rPr>
        <w:t>25.06</w:t>
      </w:r>
      <w:r>
        <w:rPr>
          <w:rFonts w:hint="eastAsia" w:ascii="仿宋_GB2312" w:hAnsi="仿宋" w:eastAsia="仿宋_GB2312"/>
          <w:sz w:val="32"/>
          <w:szCs w:val="32"/>
        </w:rPr>
        <w:t>万元，政府采购工程预算</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万元，政府采购服务预算</w:t>
      </w:r>
      <w:r>
        <w:rPr>
          <w:rFonts w:hint="eastAsia" w:ascii="仿宋_GB2312" w:hAnsi="仿宋" w:eastAsia="仿宋_GB2312"/>
          <w:sz w:val="32"/>
          <w:szCs w:val="32"/>
          <w:lang w:val="en-US" w:eastAsia="zh-CN"/>
        </w:rPr>
        <w:t>0</w:t>
      </w:r>
      <w:r>
        <w:rPr>
          <w:rFonts w:hint="eastAsia" w:ascii="仿宋_GB2312" w:hAnsi="仿宋" w:eastAsia="仿宋_GB2312"/>
          <w:sz w:val="32"/>
          <w:szCs w:val="32"/>
        </w:rPr>
        <w:t xml:space="preserve">    万元。</w:t>
      </w:r>
    </w:p>
    <w:p w14:paraId="51697EF6">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仿宋_GB2312" w:hAnsi="仿宋" w:eastAsia="仿宋_GB2312"/>
          <w:sz w:val="32"/>
          <w:szCs w:val="32"/>
        </w:rPr>
      </w:pPr>
      <w:r>
        <w:rPr>
          <w:rFonts w:hint="eastAsia" w:ascii="仿宋_GB2312" w:hAnsi="仿宋" w:eastAsia="仿宋_GB2312"/>
          <w:sz w:val="32"/>
          <w:szCs w:val="32"/>
          <w:lang w:eastAsia="zh-CN"/>
        </w:rPr>
        <w:t>2025</w:t>
      </w:r>
      <w:r>
        <w:rPr>
          <w:rFonts w:hint="eastAsia" w:ascii="仿宋_GB2312" w:hAnsi="仿宋" w:eastAsia="仿宋_GB2312"/>
          <w:sz w:val="32"/>
          <w:szCs w:val="32"/>
        </w:rPr>
        <w:t>年，单位面向中小企业预留政府采购项目预算金额</w:t>
      </w:r>
      <w:r>
        <w:rPr>
          <w:rFonts w:hint="eastAsia" w:ascii="仿宋_GB2312" w:hAnsi="仿宋" w:eastAsia="仿宋_GB2312"/>
          <w:sz w:val="32"/>
          <w:szCs w:val="32"/>
          <w:lang w:val="en-US" w:eastAsia="zh-CN"/>
        </w:rPr>
        <w:t>25.06</w:t>
      </w:r>
      <w:r>
        <w:rPr>
          <w:rFonts w:hint="eastAsia" w:ascii="仿宋_GB2312" w:hAnsi="仿宋" w:eastAsia="仿宋_GB2312"/>
          <w:sz w:val="32"/>
          <w:szCs w:val="32"/>
        </w:rPr>
        <w:t>万元，小微企业预留政府采购项目预算金额</w:t>
      </w:r>
      <w:r>
        <w:rPr>
          <w:rFonts w:hint="eastAsia" w:ascii="仿宋_GB2312" w:hAnsi="仿宋" w:eastAsia="仿宋_GB2312"/>
          <w:sz w:val="32"/>
          <w:szCs w:val="32"/>
          <w:lang w:val="en-US" w:eastAsia="zh-CN"/>
        </w:rPr>
        <w:t>25.06</w:t>
      </w:r>
      <w:r>
        <w:rPr>
          <w:rFonts w:hint="eastAsia" w:ascii="仿宋_GB2312" w:hAnsi="仿宋" w:eastAsia="仿宋_GB2312"/>
          <w:sz w:val="32"/>
          <w:szCs w:val="32"/>
        </w:rPr>
        <w:t>万元。</w:t>
      </w:r>
    </w:p>
    <w:p w14:paraId="6A193527">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textAlignment w:val="auto"/>
        <w:rPr>
          <w:rFonts w:ascii="黑体" w:hAnsi="黑体" w:eastAsia="黑体" w:cs="宋体"/>
          <w:kern w:val="0"/>
          <w:sz w:val="32"/>
          <w:szCs w:val="32"/>
        </w:rPr>
      </w:pPr>
      <w:r>
        <w:rPr>
          <w:rFonts w:hint="eastAsia" w:ascii="黑体" w:hAnsi="黑体" w:eastAsia="黑体" w:cs="宋体"/>
          <w:kern w:val="0"/>
          <w:sz w:val="32"/>
          <w:szCs w:val="32"/>
        </w:rPr>
        <w:t>八、国有资产占用情况</w:t>
      </w:r>
    </w:p>
    <w:p w14:paraId="7051FECE">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仿宋_GB2312" w:hAnsi="仿宋" w:eastAsia="仿宋_GB2312"/>
          <w:sz w:val="32"/>
          <w:szCs w:val="32"/>
        </w:rPr>
      </w:pPr>
      <w:r>
        <w:rPr>
          <w:rFonts w:hint="eastAsia" w:ascii="仿宋_GB2312" w:hAnsi="仿宋" w:eastAsia="仿宋_GB2312"/>
          <w:sz w:val="32"/>
          <w:szCs w:val="32"/>
        </w:rPr>
        <w:t>上年末固定资产金额为</w:t>
      </w:r>
      <w:r>
        <w:rPr>
          <w:rFonts w:hint="eastAsia" w:ascii="仿宋_GB2312" w:hAnsi="仿宋" w:eastAsia="仿宋_GB2312"/>
          <w:sz w:val="32"/>
          <w:szCs w:val="32"/>
          <w:lang w:val="en-US" w:eastAsia="zh-CN"/>
        </w:rPr>
        <w:t>172.29</w:t>
      </w:r>
      <w:r>
        <w:rPr>
          <w:rFonts w:hint="eastAsia" w:ascii="仿宋_GB2312" w:hAnsi="仿宋" w:eastAsia="仿宋_GB2312"/>
          <w:sz w:val="32"/>
          <w:szCs w:val="32"/>
        </w:rPr>
        <w:t>万元。其中：办公用房</w:t>
      </w:r>
      <w:r>
        <w:rPr>
          <w:rFonts w:hint="eastAsia" w:ascii="仿宋_GB2312" w:hAnsi="仿宋" w:eastAsia="仿宋_GB2312"/>
          <w:sz w:val="32"/>
          <w:szCs w:val="32"/>
          <w:lang w:val="en-US" w:eastAsia="zh-CN"/>
        </w:rPr>
        <w:t>0</w:t>
      </w:r>
      <w:r>
        <w:rPr>
          <w:rFonts w:hint="eastAsia" w:ascii="仿宋_GB2312" w:hAnsi="仿宋" w:eastAsia="仿宋_GB2312"/>
          <w:sz w:val="32"/>
          <w:szCs w:val="32"/>
        </w:rPr>
        <w:t>平方米，价值</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万元。预算部门（单位）共有公务用车</w:t>
      </w:r>
      <w:r>
        <w:rPr>
          <w:rFonts w:hint="eastAsia" w:ascii="仿宋_GB2312" w:hAnsi="仿宋" w:eastAsia="仿宋_GB2312"/>
          <w:sz w:val="32"/>
          <w:szCs w:val="32"/>
          <w:lang w:val="en-US" w:eastAsia="zh-CN"/>
        </w:rPr>
        <w:t>0</w:t>
      </w:r>
      <w:r>
        <w:rPr>
          <w:rFonts w:hint="eastAsia" w:ascii="仿宋_GB2312" w:hAnsi="仿宋" w:eastAsia="仿宋_GB2312"/>
          <w:sz w:val="32"/>
          <w:szCs w:val="32"/>
        </w:rPr>
        <w:t>辆，价值</w:t>
      </w:r>
      <w:r>
        <w:rPr>
          <w:rFonts w:hint="eastAsia" w:ascii="仿宋_GB2312" w:hAnsi="仿宋" w:eastAsia="仿宋_GB2312"/>
          <w:sz w:val="32"/>
          <w:szCs w:val="32"/>
          <w:lang w:val="en-US" w:eastAsia="zh-CN"/>
        </w:rPr>
        <w:t>0</w:t>
      </w:r>
      <w:r>
        <w:rPr>
          <w:rFonts w:hint="eastAsia" w:ascii="仿宋_GB2312" w:hAnsi="仿宋" w:eastAsia="仿宋_GB2312"/>
          <w:sz w:val="32"/>
          <w:szCs w:val="32"/>
        </w:rPr>
        <w:t xml:space="preserve">万元。单价20万元以上的设备价值 </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w:t>
      </w:r>
      <w:r>
        <w:rPr>
          <w:rFonts w:hint="eastAsia" w:ascii="仿宋_GB2312" w:hAnsi="仿宋" w:eastAsia="仿宋_GB2312"/>
          <w:sz w:val="32"/>
          <w:szCs w:val="32"/>
          <w:lang w:eastAsia="zh-CN"/>
        </w:rPr>
        <w:t>2025</w:t>
      </w:r>
      <w:r>
        <w:rPr>
          <w:rFonts w:hint="eastAsia" w:ascii="仿宋_GB2312" w:hAnsi="仿宋" w:eastAsia="仿宋_GB2312"/>
          <w:sz w:val="32"/>
          <w:szCs w:val="32"/>
        </w:rPr>
        <w:t>年拟采购固定资产约</w:t>
      </w:r>
      <w:r>
        <w:rPr>
          <w:rFonts w:hint="eastAsia" w:ascii="仿宋_GB2312" w:hAnsi="仿宋" w:eastAsia="仿宋_GB2312"/>
          <w:sz w:val="32"/>
          <w:szCs w:val="32"/>
          <w:lang w:val="en-US" w:eastAsia="zh-CN"/>
        </w:rPr>
        <w:t>0.9</w:t>
      </w:r>
      <w:r>
        <w:rPr>
          <w:rFonts w:hint="eastAsia" w:ascii="仿宋_GB2312" w:hAnsi="仿宋" w:eastAsia="仿宋_GB2312"/>
          <w:sz w:val="32"/>
          <w:szCs w:val="32"/>
        </w:rPr>
        <w:t>万元。</w:t>
      </w:r>
    </w:p>
    <w:p w14:paraId="4AAB33A2">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textAlignment w:val="auto"/>
        <w:rPr>
          <w:rFonts w:ascii="黑体" w:hAnsi="黑体" w:eastAsia="黑体" w:cs="宋体"/>
          <w:kern w:val="0"/>
          <w:sz w:val="32"/>
          <w:szCs w:val="32"/>
        </w:rPr>
      </w:pPr>
      <w:r>
        <w:rPr>
          <w:rFonts w:hint="eastAsia" w:ascii="黑体" w:hAnsi="黑体" w:eastAsia="黑体" w:cs="宋体"/>
          <w:kern w:val="0"/>
          <w:sz w:val="32"/>
          <w:szCs w:val="32"/>
        </w:rPr>
        <w:t>九、其他重要事项情况说明</w:t>
      </w:r>
    </w:p>
    <w:p w14:paraId="4B4945E4">
      <w:pPr>
        <w:keepNext w:val="0"/>
        <w:keepLines w:val="0"/>
        <w:pageBreakBefore w:val="0"/>
        <w:kinsoku/>
        <w:wordWrap/>
        <w:overflowPunct/>
        <w:topLinePunct w:val="0"/>
        <w:autoSpaceDE/>
        <w:autoSpaceDN/>
        <w:bidi w:val="0"/>
        <w:adjustRightInd w:val="0"/>
        <w:snapToGrid w:val="0"/>
        <w:spacing w:line="560" w:lineRule="exact"/>
        <w:ind w:firstLine="643" w:firstLineChars="200"/>
        <w:contextualSpacing/>
        <w:textAlignment w:val="auto"/>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（一）政府性基金预算支出情况</w:t>
      </w:r>
    </w:p>
    <w:p w14:paraId="3D308989">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仿宋_GB2312" w:hAnsi="仿宋" w:eastAsia="仿宋_GB2312"/>
          <w:sz w:val="32"/>
          <w:szCs w:val="32"/>
        </w:rPr>
      </w:pPr>
      <w:r>
        <w:rPr>
          <w:rFonts w:hint="eastAsia" w:ascii="仿宋_GB2312" w:hAnsi="仿宋" w:eastAsia="仿宋_GB2312"/>
          <w:sz w:val="32"/>
          <w:szCs w:val="32"/>
        </w:rPr>
        <w:t>未安排预算，政府性基金预算支出情况表为空表。</w:t>
      </w:r>
    </w:p>
    <w:p w14:paraId="792B6F08">
      <w:pPr>
        <w:keepNext w:val="0"/>
        <w:keepLines w:val="0"/>
        <w:pageBreakBefore w:val="0"/>
        <w:kinsoku/>
        <w:wordWrap/>
        <w:overflowPunct/>
        <w:topLinePunct w:val="0"/>
        <w:autoSpaceDE/>
        <w:autoSpaceDN/>
        <w:bidi w:val="0"/>
        <w:adjustRightInd w:val="0"/>
        <w:snapToGrid w:val="0"/>
        <w:spacing w:line="560" w:lineRule="exact"/>
        <w:ind w:firstLine="643" w:firstLineChars="200"/>
        <w:contextualSpacing/>
        <w:textAlignment w:val="auto"/>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（二）非税收入情况</w:t>
      </w:r>
    </w:p>
    <w:p w14:paraId="0C54ABC8">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仿宋_GB2312" w:hAnsi="仿宋" w:eastAsia="仿宋_GB2312"/>
          <w:sz w:val="32"/>
          <w:szCs w:val="32"/>
        </w:rPr>
      </w:pPr>
      <w:r>
        <w:rPr>
          <w:rFonts w:hint="eastAsia" w:ascii="仿宋_GB2312" w:hAnsi="仿宋" w:eastAsia="仿宋_GB2312"/>
          <w:sz w:val="32"/>
          <w:szCs w:val="32"/>
        </w:rPr>
        <w:t>本</w:t>
      </w:r>
      <w:r>
        <w:rPr>
          <w:rFonts w:hint="eastAsia" w:ascii="仿宋_GB2312" w:hAnsi="仿宋" w:eastAsia="仿宋_GB2312"/>
          <w:sz w:val="32"/>
          <w:szCs w:val="32"/>
          <w:lang w:eastAsia="zh-CN"/>
        </w:rPr>
        <w:t>单位2025</w:t>
      </w:r>
      <w:r>
        <w:rPr>
          <w:rFonts w:hint="eastAsia" w:ascii="仿宋_GB2312" w:hAnsi="仿宋" w:eastAsia="仿宋_GB2312"/>
          <w:sz w:val="32"/>
          <w:szCs w:val="32"/>
        </w:rPr>
        <w:t>年</w:t>
      </w:r>
      <w:r>
        <w:rPr>
          <w:rFonts w:ascii="仿宋_GB2312" w:hAnsi="仿宋" w:eastAsia="仿宋_GB2312"/>
          <w:sz w:val="32"/>
          <w:szCs w:val="32"/>
        </w:rPr>
        <w:t>无非税收入</w:t>
      </w:r>
      <w:r>
        <w:rPr>
          <w:rFonts w:hint="eastAsia" w:ascii="仿宋_GB2312" w:hAnsi="仿宋" w:eastAsia="仿宋_GB2312"/>
          <w:sz w:val="32"/>
          <w:szCs w:val="32"/>
        </w:rPr>
        <w:t>。</w:t>
      </w:r>
    </w:p>
    <w:p w14:paraId="09CA2645">
      <w:pPr>
        <w:keepNext w:val="0"/>
        <w:keepLines w:val="0"/>
        <w:pageBreakBefore w:val="0"/>
        <w:kinsoku/>
        <w:wordWrap/>
        <w:overflowPunct/>
        <w:topLinePunct w:val="0"/>
        <w:autoSpaceDE/>
        <w:autoSpaceDN/>
        <w:bidi w:val="0"/>
        <w:adjustRightInd w:val="0"/>
        <w:snapToGrid w:val="0"/>
        <w:spacing w:line="560" w:lineRule="exact"/>
        <w:ind w:firstLine="643" w:firstLineChars="200"/>
        <w:contextualSpacing/>
        <w:textAlignment w:val="auto"/>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（三）重点项目情况</w:t>
      </w:r>
    </w:p>
    <w:p w14:paraId="748B0BB0">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textAlignment w:val="auto"/>
        <w:rPr>
          <w:rFonts w:hint="eastAsia" w:ascii="仿宋_GB2312" w:hAnsi="仿宋" w:eastAsia="仿宋_GB2312"/>
          <w:sz w:val="32"/>
          <w:szCs w:val="32"/>
        </w:rPr>
      </w:pPr>
      <w:r>
        <w:rPr>
          <w:rFonts w:hint="eastAsia" w:ascii="仿宋_GB2312" w:hAnsi="仿宋" w:eastAsia="仿宋_GB2312"/>
          <w:sz w:val="32"/>
          <w:szCs w:val="32"/>
        </w:rPr>
        <w:t>项目名称：城乡住户“一体化”记账户补助</w:t>
      </w:r>
    </w:p>
    <w:p w14:paraId="39502E11">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textAlignment w:val="auto"/>
        <w:rPr>
          <w:rFonts w:hint="eastAsia" w:ascii="仿宋_GB2312" w:hAnsi="仿宋" w:eastAsia="仿宋_GB2312"/>
          <w:sz w:val="32"/>
          <w:szCs w:val="32"/>
        </w:rPr>
      </w:pPr>
      <w:r>
        <w:rPr>
          <w:rFonts w:hint="eastAsia" w:ascii="仿宋_GB2312" w:hAnsi="仿宋" w:eastAsia="仿宋_GB2312"/>
          <w:sz w:val="32"/>
          <w:szCs w:val="32"/>
        </w:rPr>
        <w:t>1、项目概况：城乡住户“一体化”记账户补助为全县记账户发放记账补助</w:t>
      </w:r>
    </w:p>
    <w:p w14:paraId="78CADB2F">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textAlignment w:val="auto"/>
        <w:rPr>
          <w:rFonts w:hint="eastAsia" w:ascii="仿宋_GB2312" w:hAnsi="仿宋" w:eastAsia="仿宋_GB2312"/>
          <w:sz w:val="32"/>
          <w:szCs w:val="32"/>
        </w:rPr>
      </w:pPr>
      <w:r>
        <w:rPr>
          <w:rFonts w:hint="eastAsia" w:ascii="仿宋_GB2312" w:hAnsi="仿宋" w:eastAsia="仿宋_GB2312"/>
          <w:sz w:val="32"/>
          <w:szCs w:val="32"/>
        </w:rPr>
        <w:t>2、立项依据：庆政办发〔2012〕288号、华政办发〔2022〕15号</w:t>
      </w:r>
    </w:p>
    <w:p w14:paraId="47DBD98A">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textAlignment w:val="auto"/>
        <w:rPr>
          <w:rFonts w:hint="eastAsia" w:ascii="仿宋_GB2312" w:hAnsi="仿宋" w:eastAsia="仿宋_GB2312"/>
          <w:sz w:val="32"/>
          <w:szCs w:val="32"/>
        </w:rPr>
      </w:pPr>
      <w:r>
        <w:rPr>
          <w:rFonts w:hint="eastAsia" w:ascii="仿宋_GB2312" w:hAnsi="仿宋" w:eastAsia="仿宋_GB2312"/>
          <w:sz w:val="32"/>
          <w:szCs w:val="32"/>
        </w:rPr>
        <w:t>3、实施主体：华池县统计局</w:t>
      </w:r>
    </w:p>
    <w:p w14:paraId="526FAC19">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textAlignment w:val="auto"/>
        <w:rPr>
          <w:rFonts w:hint="eastAsia" w:ascii="仿宋_GB2312" w:hAnsi="仿宋" w:eastAsia="仿宋_GB2312"/>
          <w:sz w:val="32"/>
          <w:szCs w:val="32"/>
        </w:rPr>
      </w:pPr>
      <w:r>
        <w:rPr>
          <w:rFonts w:hint="eastAsia" w:ascii="仿宋_GB2312" w:hAnsi="仿宋" w:eastAsia="仿宋_GB2312"/>
          <w:sz w:val="32"/>
          <w:szCs w:val="32"/>
        </w:rPr>
        <w:t>4、实施周期：1年</w:t>
      </w:r>
    </w:p>
    <w:p w14:paraId="5ECE267C">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textAlignment w:val="auto"/>
        <w:rPr>
          <w:rFonts w:hint="eastAsia" w:ascii="仿宋_GB2312" w:hAnsi="仿宋" w:eastAsia="仿宋_GB2312"/>
          <w:sz w:val="32"/>
          <w:szCs w:val="32"/>
        </w:rPr>
      </w:pPr>
      <w:r>
        <w:rPr>
          <w:rFonts w:hint="eastAsia" w:ascii="仿宋_GB2312" w:hAnsi="仿宋" w:eastAsia="仿宋_GB2312"/>
          <w:sz w:val="32"/>
          <w:szCs w:val="32"/>
        </w:rPr>
        <w:t>5、实施计划：202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年发放城乡住户“一体化”记账户补助</w:t>
      </w:r>
      <w:r>
        <w:rPr>
          <w:rFonts w:hint="eastAsia" w:ascii="仿宋_GB2312" w:hAnsi="仿宋" w:eastAsia="仿宋_GB2312"/>
          <w:sz w:val="32"/>
          <w:szCs w:val="32"/>
          <w:lang w:val="en-US" w:eastAsia="zh-CN"/>
        </w:rPr>
        <w:t>38.28</w:t>
      </w:r>
      <w:r>
        <w:rPr>
          <w:rFonts w:hint="eastAsia" w:ascii="仿宋_GB2312" w:hAnsi="仿宋" w:eastAsia="仿宋_GB2312"/>
          <w:sz w:val="32"/>
          <w:szCs w:val="32"/>
        </w:rPr>
        <w:t>万元</w:t>
      </w:r>
    </w:p>
    <w:p w14:paraId="1528B19C">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textAlignment w:val="auto"/>
        <w:rPr>
          <w:rFonts w:hint="eastAsia" w:ascii="仿宋_GB2312" w:hAnsi="仿宋" w:eastAsia="仿宋_GB2312"/>
          <w:sz w:val="32"/>
          <w:szCs w:val="32"/>
        </w:rPr>
      </w:pPr>
      <w:r>
        <w:rPr>
          <w:rFonts w:hint="eastAsia" w:ascii="仿宋_GB2312" w:hAnsi="仿宋" w:eastAsia="仿宋_GB2312"/>
          <w:sz w:val="32"/>
          <w:szCs w:val="32"/>
        </w:rPr>
        <w:t>6、年度预算安排：</w:t>
      </w:r>
      <w:r>
        <w:rPr>
          <w:rFonts w:hint="eastAsia" w:ascii="仿宋_GB2312" w:hAnsi="仿宋" w:eastAsia="仿宋_GB2312"/>
          <w:sz w:val="32"/>
          <w:szCs w:val="32"/>
          <w:lang w:val="en-US" w:eastAsia="zh-CN"/>
        </w:rPr>
        <w:t>38.28</w:t>
      </w:r>
      <w:r>
        <w:rPr>
          <w:rFonts w:hint="eastAsia" w:ascii="仿宋_GB2312" w:hAnsi="仿宋" w:eastAsia="仿宋_GB2312"/>
          <w:sz w:val="32"/>
          <w:szCs w:val="32"/>
        </w:rPr>
        <w:t>万元</w:t>
      </w:r>
    </w:p>
    <w:p w14:paraId="51BD7EB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rPr>
        <w:t>7、预期总体目标：住户调查主要反映居民家庭收入和支出状况，开展城乡住户调查一体化改革和全面推广电子记账工作，有利于准确完整地提供全体居民收入更好的满足党和政府了解居民生活状况信息。</w:t>
      </w:r>
      <w:r>
        <w:rPr>
          <w:rFonts w:hint="eastAsia" w:ascii="仿宋_GB2312" w:hAnsi="仿宋" w:eastAsia="仿宋_GB2312"/>
          <w:sz w:val="32"/>
          <w:szCs w:val="32"/>
          <w:lang w:val="en-US" w:eastAsia="zh-CN"/>
        </w:rPr>
        <w:t xml:space="preserve">                 </w:t>
      </w:r>
    </w:p>
    <w:p w14:paraId="2767C9F3">
      <w:pPr>
        <w:keepNext w:val="0"/>
        <w:keepLines w:val="0"/>
        <w:pageBreakBefore w:val="0"/>
        <w:kinsoku/>
        <w:wordWrap/>
        <w:overflowPunct/>
        <w:topLinePunct w:val="0"/>
        <w:autoSpaceDE/>
        <w:autoSpaceDN/>
        <w:bidi w:val="0"/>
        <w:adjustRightInd w:val="0"/>
        <w:snapToGrid w:val="0"/>
        <w:spacing w:line="240" w:lineRule="auto"/>
        <w:ind w:firstLine="643" w:firstLineChars="200"/>
        <w:contextualSpacing/>
        <w:textAlignment w:val="auto"/>
        <w:rPr>
          <w:rFonts w:hint="eastAsia" w:ascii="仿宋_GB2312" w:hAnsi="仿宋" w:eastAsia="仿宋_GB2312"/>
          <w:sz w:val="32"/>
          <w:szCs w:val="32"/>
          <w:lang w:val="en-US" w:eastAsia="zh-CN"/>
        </w:rPr>
      </w:pPr>
      <w:r>
        <w:rPr>
          <w:rFonts w:hint="eastAsia" w:ascii="楷体_GB2312" w:hAnsi="楷体" w:eastAsia="楷体_GB2312" w:cs="宋体"/>
          <w:b/>
          <w:bCs/>
          <w:kern w:val="0"/>
          <w:sz w:val="32"/>
          <w:szCs w:val="32"/>
        </w:rPr>
        <w:t>（四）部门管理转移支付情况</w:t>
      </w:r>
    </w:p>
    <w:p w14:paraId="5F6CF6AA">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仿宋_GB2312" w:hAnsi="仿宋" w:eastAsia="仿宋_GB2312"/>
          <w:sz w:val="32"/>
          <w:szCs w:val="32"/>
        </w:rPr>
      </w:pPr>
      <w:r>
        <w:rPr>
          <w:rFonts w:hint="eastAsia" w:ascii="仿宋_GB2312" w:hAnsi="仿宋" w:eastAsia="仿宋_GB2312"/>
          <w:sz w:val="32"/>
          <w:szCs w:val="32"/>
        </w:rPr>
        <w:t>未安排预算，</w:t>
      </w:r>
      <w:r>
        <w:rPr>
          <w:rFonts w:hint="eastAsia" w:ascii="仿宋_GB2312" w:hAnsi="仿宋" w:eastAsia="仿宋_GB2312"/>
          <w:sz w:val="32"/>
          <w:szCs w:val="32"/>
          <w:lang w:eastAsia="zh-CN"/>
        </w:rPr>
        <w:t>单位</w:t>
      </w:r>
      <w:r>
        <w:rPr>
          <w:rFonts w:hint="eastAsia" w:ascii="仿宋_GB2312" w:hAnsi="仿宋" w:eastAsia="仿宋_GB2312"/>
          <w:sz w:val="32"/>
          <w:szCs w:val="32"/>
        </w:rPr>
        <w:t>管理转移支付表为空表。</w:t>
      </w:r>
    </w:p>
    <w:p w14:paraId="57061121">
      <w:pPr>
        <w:keepNext w:val="0"/>
        <w:keepLines w:val="0"/>
        <w:pageBreakBefore w:val="0"/>
        <w:kinsoku/>
        <w:wordWrap/>
        <w:overflowPunct/>
        <w:topLinePunct w:val="0"/>
        <w:autoSpaceDE/>
        <w:autoSpaceDN/>
        <w:bidi w:val="0"/>
        <w:adjustRightInd w:val="0"/>
        <w:snapToGrid w:val="0"/>
        <w:spacing w:line="560" w:lineRule="exact"/>
        <w:ind w:firstLine="643" w:firstLineChars="200"/>
        <w:contextualSpacing/>
        <w:textAlignment w:val="auto"/>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（五）国有资本经营预算支出情况</w:t>
      </w:r>
    </w:p>
    <w:p w14:paraId="1565C8AE">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仿宋_GB2312" w:hAnsi="楷体" w:eastAsia="仿宋_GB2312"/>
          <w:sz w:val="32"/>
          <w:szCs w:val="32"/>
        </w:rPr>
      </w:pPr>
      <w:r>
        <w:rPr>
          <w:rFonts w:hint="eastAsia" w:ascii="仿宋_GB2312" w:hAnsi="楷体" w:eastAsia="仿宋_GB2312"/>
          <w:sz w:val="32"/>
          <w:szCs w:val="32"/>
        </w:rPr>
        <w:t>未安排预算，国有资本经营预算支出情况表为空表。</w:t>
      </w:r>
    </w:p>
    <w:p w14:paraId="1ED9B130">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textAlignment w:val="auto"/>
        <w:rPr>
          <w:rFonts w:ascii="黑体" w:hAnsi="黑体" w:eastAsia="黑体" w:cs="宋体"/>
          <w:kern w:val="0"/>
          <w:sz w:val="32"/>
          <w:szCs w:val="32"/>
        </w:rPr>
      </w:pPr>
      <w:r>
        <w:rPr>
          <w:rFonts w:hint="eastAsia" w:ascii="黑体" w:hAnsi="黑体" w:eastAsia="黑体" w:cs="宋体"/>
          <w:kern w:val="0"/>
          <w:sz w:val="32"/>
          <w:szCs w:val="32"/>
        </w:rPr>
        <w:t>十、预算绩效管理情况</w:t>
      </w:r>
    </w:p>
    <w:p w14:paraId="1C62EBEC">
      <w:pPr>
        <w:keepNext w:val="0"/>
        <w:keepLines w:val="0"/>
        <w:pageBreakBefore w:val="0"/>
        <w:kinsoku/>
        <w:wordWrap/>
        <w:overflowPunct/>
        <w:topLinePunct w:val="0"/>
        <w:autoSpaceDE/>
        <w:autoSpaceDN/>
        <w:bidi w:val="0"/>
        <w:adjustRightInd w:val="0"/>
        <w:snapToGrid w:val="0"/>
        <w:spacing w:line="560" w:lineRule="exact"/>
        <w:ind w:firstLine="643" w:firstLineChars="200"/>
        <w:contextualSpacing/>
        <w:textAlignment w:val="auto"/>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w:t>
      </w:r>
      <w:r>
        <w:rPr>
          <w:rFonts w:hint="eastAsia" w:ascii="楷体_GB2312" w:hAnsi="楷体" w:eastAsia="楷体_GB2312" w:cs="宋体"/>
          <w:b/>
          <w:bCs/>
          <w:kern w:val="0"/>
          <w:sz w:val="32"/>
          <w:szCs w:val="32"/>
          <w:lang w:eastAsia="zh-CN"/>
        </w:rPr>
        <w:t>2024</w:t>
      </w:r>
      <w:r>
        <w:rPr>
          <w:rFonts w:hint="eastAsia" w:ascii="楷体_GB2312" w:hAnsi="楷体" w:eastAsia="楷体_GB2312" w:cs="宋体"/>
          <w:b/>
          <w:bCs/>
          <w:kern w:val="0"/>
          <w:sz w:val="32"/>
          <w:szCs w:val="32"/>
        </w:rPr>
        <w:t>年预算绩效管理工作情况。</w:t>
      </w:r>
    </w:p>
    <w:p w14:paraId="5B5CCF1F">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仿宋_GB2312" w:hAnsi="仿宋" w:eastAsia="仿宋_GB2312"/>
          <w:sz w:val="32"/>
          <w:szCs w:val="32"/>
        </w:rPr>
      </w:pPr>
      <w:r>
        <w:rPr>
          <w:rFonts w:hint="eastAsia" w:ascii="仿宋_GB2312" w:hAnsi="仿宋" w:eastAsia="仿宋_GB2312"/>
          <w:sz w:val="32"/>
          <w:szCs w:val="32"/>
        </w:rPr>
        <w:t>按照《中共中央 国务院关于全面实施预算绩效管理的意见》《中共甘肃省委 甘肃省人民政府关于全面实施预算绩效管理的实施意见》等相关要求，我们将绩效理念和方法融入预算编制、执行、决算和监督全过程认真开展各项工作。</w:t>
      </w:r>
    </w:p>
    <w:p w14:paraId="545CA32B">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ascii="仿宋_GB2312" w:hAnsi="仿宋" w:eastAsia="仿宋_GB2312"/>
          <w:sz w:val="32"/>
          <w:szCs w:val="32"/>
        </w:rPr>
      </w:pPr>
      <w:r>
        <w:rPr>
          <w:rFonts w:hint="eastAsia" w:ascii="仿宋_GB2312" w:hAnsi="仿宋" w:eastAsia="仿宋_GB2312"/>
          <w:b/>
          <w:sz w:val="32"/>
          <w:szCs w:val="32"/>
        </w:rPr>
        <w:t>1.绩效目标管理情况。</w:t>
      </w:r>
      <w:r>
        <w:rPr>
          <w:rFonts w:hint="eastAsia" w:ascii="仿宋_GB2312" w:hAnsi="仿宋" w:eastAsia="仿宋_GB2312"/>
          <w:sz w:val="32"/>
          <w:szCs w:val="32"/>
          <w:lang w:eastAsia="zh-CN"/>
        </w:rPr>
        <w:t>2024</w:t>
      </w:r>
      <w:r>
        <w:rPr>
          <w:rFonts w:hint="eastAsia" w:ascii="仿宋_GB2312" w:hAnsi="仿宋" w:eastAsia="仿宋_GB2312"/>
          <w:sz w:val="32"/>
          <w:szCs w:val="32"/>
        </w:rPr>
        <w:t>年度，按照“谁申请资金，谁设置目标”的原则，纳入部门预算管理的</w:t>
      </w:r>
      <w:r>
        <w:rPr>
          <w:rFonts w:hint="eastAsia" w:ascii="仿宋_GB2312" w:hAnsi="CIDFont+F6" w:eastAsia="仿宋_GB2312"/>
          <w:color w:val="000000"/>
          <w:sz w:val="32"/>
          <w:szCs w:val="32"/>
          <w:lang w:eastAsia="zh-CN"/>
        </w:rPr>
        <w:t>单位</w:t>
      </w:r>
      <w:r>
        <w:rPr>
          <w:rFonts w:hint="eastAsia" w:ascii="仿宋_GB2312" w:hAnsi="仿宋" w:eastAsia="仿宋_GB2312"/>
          <w:sz w:val="32"/>
          <w:szCs w:val="32"/>
        </w:rPr>
        <w:t xml:space="preserve">整体支出和项目绩效目标 </w:t>
      </w:r>
      <w:r>
        <w:rPr>
          <w:rFonts w:hint="eastAsia" w:ascii="仿宋_GB2312" w:hAnsi="仿宋" w:eastAsia="仿宋_GB2312"/>
          <w:sz w:val="32"/>
          <w:szCs w:val="32"/>
          <w:lang w:val="en-US" w:eastAsia="zh-CN"/>
        </w:rPr>
        <w:t>8</w:t>
      </w:r>
      <w:r>
        <w:rPr>
          <w:rFonts w:hint="eastAsia" w:ascii="仿宋_GB2312" w:hAnsi="仿宋" w:eastAsia="仿宋_GB2312"/>
          <w:sz w:val="32"/>
          <w:szCs w:val="32"/>
        </w:rPr>
        <w:t xml:space="preserve">个，按规定随年度预算一并公开项目 </w:t>
      </w:r>
      <w:r>
        <w:rPr>
          <w:rFonts w:hint="eastAsia" w:ascii="仿宋_GB2312" w:hAnsi="仿宋" w:eastAsia="仿宋_GB2312"/>
          <w:sz w:val="32"/>
          <w:szCs w:val="32"/>
          <w:lang w:val="en-US" w:eastAsia="zh-CN"/>
        </w:rPr>
        <w:t>8</w:t>
      </w:r>
      <w:r>
        <w:rPr>
          <w:rFonts w:hint="eastAsia" w:ascii="仿宋_GB2312" w:hAnsi="仿宋" w:eastAsia="仿宋_GB2312"/>
          <w:sz w:val="32"/>
          <w:szCs w:val="32"/>
        </w:rPr>
        <w:t>个，公开率为</w:t>
      </w:r>
      <w:r>
        <w:rPr>
          <w:rFonts w:hint="eastAsia" w:ascii="仿宋_GB2312" w:hAnsi="仿宋" w:eastAsia="仿宋_GB2312"/>
          <w:sz w:val="32"/>
          <w:szCs w:val="32"/>
          <w:lang w:val="en-US" w:eastAsia="zh-CN"/>
        </w:rPr>
        <w:t>100</w:t>
      </w:r>
      <w:r>
        <w:rPr>
          <w:rFonts w:hint="eastAsia" w:ascii="仿宋_GB2312" w:hAnsi="仿宋" w:eastAsia="仿宋_GB2312"/>
          <w:sz w:val="32"/>
          <w:szCs w:val="32"/>
        </w:rPr>
        <w:t>%。</w:t>
      </w:r>
    </w:p>
    <w:p w14:paraId="58BC8623">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ascii="仿宋_GB2312" w:hAnsi="仿宋" w:eastAsia="仿宋_GB2312"/>
          <w:sz w:val="32"/>
          <w:szCs w:val="32"/>
        </w:rPr>
      </w:pPr>
      <w:r>
        <w:rPr>
          <w:rFonts w:hint="eastAsia" w:ascii="仿宋_GB2312" w:hAnsi="仿宋" w:eastAsia="仿宋_GB2312"/>
          <w:b/>
          <w:sz w:val="32"/>
          <w:szCs w:val="32"/>
        </w:rPr>
        <w:t>2.绩效运行监控情况。</w:t>
      </w:r>
      <w:r>
        <w:rPr>
          <w:rFonts w:hint="eastAsia" w:ascii="仿宋_GB2312" w:hAnsi="仿宋" w:eastAsia="仿宋_GB2312"/>
          <w:sz w:val="32"/>
          <w:szCs w:val="32"/>
          <w:lang w:eastAsia="zh-CN"/>
        </w:rPr>
        <w:t>2024</w:t>
      </w:r>
      <w:r>
        <w:rPr>
          <w:rFonts w:hint="eastAsia" w:ascii="仿宋_GB2312" w:hAnsi="仿宋" w:eastAsia="仿宋_GB2312"/>
          <w:sz w:val="32"/>
          <w:szCs w:val="32"/>
        </w:rPr>
        <w:t>年7月，组织开展1-6月绩效运行监控项目</w:t>
      </w:r>
      <w:r>
        <w:rPr>
          <w:rFonts w:hint="eastAsia" w:ascii="仿宋_GB2312" w:hAnsi="仿宋" w:eastAsia="仿宋_GB2312"/>
          <w:sz w:val="32"/>
          <w:szCs w:val="32"/>
          <w:lang w:val="en-US" w:eastAsia="zh-CN"/>
        </w:rPr>
        <w:t>8</w:t>
      </w:r>
      <w:r>
        <w:rPr>
          <w:rFonts w:hint="eastAsia" w:ascii="仿宋_GB2312" w:hAnsi="仿宋" w:eastAsia="仿宋_GB2312"/>
          <w:sz w:val="32"/>
          <w:szCs w:val="32"/>
        </w:rPr>
        <w:t>个，占本</w:t>
      </w:r>
      <w:r>
        <w:rPr>
          <w:rFonts w:hint="eastAsia" w:ascii="仿宋_GB2312" w:hAnsi="CIDFont+F6" w:eastAsia="仿宋_GB2312"/>
          <w:color w:val="000000"/>
          <w:sz w:val="32"/>
          <w:szCs w:val="32"/>
          <w:lang w:eastAsia="zh-CN"/>
        </w:rPr>
        <w:t>单位</w:t>
      </w:r>
      <w:r>
        <w:rPr>
          <w:rFonts w:hint="eastAsia" w:ascii="仿宋_GB2312" w:hAnsi="仿宋" w:eastAsia="仿宋_GB2312"/>
          <w:sz w:val="32"/>
          <w:szCs w:val="32"/>
        </w:rPr>
        <w:t xml:space="preserve">项目的 </w:t>
      </w:r>
      <w:r>
        <w:rPr>
          <w:rFonts w:hint="eastAsia" w:ascii="仿宋_GB2312" w:hAnsi="仿宋" w:eastAsia="仿宋_GB2312"/>
          <w:sz w:val="32"/>
          <w:szCs w:val="32"/>
          <w:lang w:val="en-US" w:eastAsia="zh-CN"/>
        </w:rPr>
        <w:t>100</w:t>
      </w:r>
      <w:r>
        <w:rPr>
          <w:rFonts w:hint="eastAsia" w:ascii="仿宋_GB2312" w:hAnsi="仿宋" w:eastAsia="仿宋_GB2312"/>
          <w:sz w:val="32"/>
          <w:szCs w:val="32"/>
        </w:rPr>
        <w:t xml:space="preserve"> %。开展1-9月绩效运行监控项目</w:t>
      </w:r>
      <w:r>
        <w:rPr>
          <w:rFonts w:hint="eastAsia" w:ascii="仿宋_GB2312" w:hAnsi="仿宋" w:eastAsia="仿宋_GB2312"/>
          <w:sz w:val="32"/>
          <w:szCs w:val="32"/>
          <w:lang w:val="en-US" w:eastAsia="zh-CN"/>
        </w:rPr>
        <w:t>8</w:t>
      </w:r>
      <w:r>
        <w:rPr>
          <w:rFonts w:hint="eastAsia" w:ascii="仿宋_GB2312" w:hAnsi="仿宋" w:eastAsia="仿宋_GB2312"/>
          <w:sz w:val="32"/>
          <w:szCs w:val="32"/>
        </w:rPr>
        <w:t>个，占本</w:t>
      </w:r>
      <w:r>
        <w:rPr>
          <w:rFonts w:hint="eastAsia" w:ascii="仿宋_GB2312" w:hAnsi="CIDFont+F6" w:eastAsia="仿宋_GB2312"/>
          <w:color w:val="000000"/>
          <w:sz w:val="32"/>
          <w:szCs w:val="32"/>
          <w:lang w:eastAsia="zh-CN"/>
        </w:rPr>
        <w:t>单位</w:t>
      </w:r>
      <w:r>
        <w:rPr>
          <w:rFonts w:hint="eastAsia" w:ascii="仿宋_GB2312" w:hAnsi="仿宋" w:eastAsia="仿宋_GB2312"/>
          <w:sz w:val="32"/>
          <w:szCs w:val="32"/>
        </w:rPr>
        <w:t>项目的</w:t>
      </w:r>
      <w:r>
        <w:rPr>
          <w:rFonts w:hint="eastAsia" w:ascii="仿宋_GB2312" w:hAnsi="仿宋" w:eastAsia="仿宋_GB2312"/>
          <w:sz w:val="32"/>
          <w:szCs w:val="32"/>
          <w:lang w:val="en-US" w:eastAsia="zh-CN"/>
        </w:rPr>
        <w:t>100</w:t>
      </w:r>
      <w:r>
        <w:rPr>
          <w:rFonts w:hint="eastAsia" w:ascii="仿宋_GB2312" w:hAnsi="仿宋" w:eastAsia="仿宋_GB2312"/>
          <w:sz w:val="32"/>
          <w:szCs w:val="32"/>
        </w:rPr>
        <w:t>%。截至10月底，如期完成预算执行和绩效目标指标值的项目</w:t>
      </w:r>
      <w:r>
        <w:rPr>
          <w:rFonts w:hint="eastAsia" w:ascii="仿宋_GB2312" w:hAnsi="仿宋" w:eastAsia="仿宋_GB2312"/>
          <w:sz w:val="32"/>
          <w:szCs w:val="32"/>
          <w:lang w:val="en-US" w:eastAsia="zh-CN"/>
        </w:rPr>
        <w:t>8</w:t>
      </w:r>
      <w:r>
        <w:rPr>
          <w:rFonts w:hint="eastAsia" w:ascii="仿宋_GB2312" w:hAnsi="仿宋" w:eastAsia="仿宋_GB2312"/>
          <w:sz w:val="32"/>
          <w:szCs w:val="32"/>
        </w:rPr>
        <w:t>个，完成率为</w:t>
      </w:r>
      <w:r>
        <w:rPr>
          <w:rFonts w:hint="eastAsia" w:ascii="仿宋_GB2312" w:hAnsi="仿宋" w:eastAsia="仿宋_GB2312"/>
          <w:sz w:val="32"/>
          <w:szCs w:val="32"/>
          <w:lang w:val="en-US" w:eastAsia="zh-CN"/>
        </w:rPr>
        <w:t>100</w:t>
      </w:r>
      <w:r>
        <w:rPr>
          <w:rFonts w:hint="eastAsia" w:ascii="仿宋_GB2312" w:hAnsi="仿宋" w:eastAsia="仿宋_GB2312"/>
          <w:sz w:val="32"/>
          <w:szCs w:val="32"/>
        </w:rPr>
        <w:t>%。</w:t>
      </w:r>
    </w:p>
    <w:p w14:paraId="35EFE2F7">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仿宋_GB2312" w:hAnsi="仿宋" w:eastAsia="仿宋_GB2312"/>
          <w:sz w:val="32"/>
          <w:szCs w:val="32"/>
        </w:rPr>
      </w:pPr>
      <w:r>
        <w:rPr>
          <w:rFonts w:hint="eastAsia" w:ascii="仿宋_GB2312" w:hAnsi="仿宋" w:eastAsia="仿宋_GB2312"/>
          <w:b/>
          <w:sz w:val="32"/>
          <w:szCs w:val="32"/>
        </w:rPr>
        <w:t>3.绩效自评开展情况。</w:t>
      </w:r>
      <w:r>
        <w:rPr>
          <w:rFonts w:hint="eastAsia" w:ascii="仿宋_GB2312" w:hAnsi="仿宋" w:eastAsia="仿宋_GB2312"/>
          <w:sz w:val="32"/>
          <w:szCs w:val="32"/>
          <w:lang w:eastAsia="zh-CN"/>
        </w:rPr>
        <w:t>2024</w:t>
      </w:r>
      <w:r>
        <w:rPr>
          <w:rFonts w:hint="eastAsia" w:ascii="仿宋_GB2312" w:hAnsi="仿宋" w:eastAsia="仿宋_GB2312"/>
          <w:sz w:val="32"/>
          <w:szCs w:val="32"/>
        </w:rPr>
        <w:t>年度，组织开展绩效自评项目共</w:t>
      </w:r>
      <w:r>
        <w:rPr>
          <w:rFonts w:hint="eastAsia" w:ascii="仿宋_GB2312" w:hAnsi="仿宋" w:eastAsia="仿宋_GB2312"/>
          <w:sz w:val="32"/>
          <w:szCs w:val="32"/>
          <w:lang w:val="en-US" w:eastAsia="zh-CN"/>
        </w:rPr>
        <w:t>8</w:t>
      </w:r>
      <w:r>
        <w:rPr>
          <w:rFonts w:hint="eastAsia" w:ascii="仿宋_GB2312" w:hAnsi="仿宋" w:eastAsia="仿宋_GB2312"/>
          <w:sz w:val="32"/>
          <w:szCs w:val="32"/>
        </w:rPr>
        <w:t>个，其中，部门（单位）整体支出</w:t>
      </w:r>
      <w:r>
        <w:rPr>
          <w:rFonts w:hint="eastAsia" w:ascii="仿宋_GB2312" w:hAnsi="仿宋" w:eastAsia="仿宋_GB2312"/>
          <w:sz w:val="32"/>
          <w:szCs w:val="32"/>
          <w:lang w:val="en-US" w:eastAsia="zh-CN"/>
        </w:rPr>
        <w:t>1</w:t>
      </w:r>
      <w:r>
        <w:rPr>
          <w:rFonts w:hint="eastAsia" w:ascii="仿宋_GB2312" w:hAnsi="仿宋" w:eastAsia="仿宋_GB2312"/>
          <w:sz w:val="32"/>
          <w:szCs w:val="32"/>
        </w:rPr>
        <w:t>个，项目支出</w:t>
      </w:r>
      <w:r>
        <w:rPr>
          <w:rFonts w:hint="eastAsia" w:ascii="仿宋_GB2312" w:hAnsi="仿宋" w:eastAsia="仿宋_GB2312"/>
          <w:sz w:val="32"/>
          <w:szCs w:val="32"/>
          <w:lang w:val="en-US" w:eastAsia="zh-CN"/>
        </w:rPr>
        <w:t>8</w:t>
      </w:r>
      <w:r>
        <w:rPr>
          <w:rFonts w:hint="eastAsia" w:ascii="仿宋_GB2312" w:hAnsi="仿宋" w:eastAsia="仿宋_GB2312"/>
          <w:sz w:val="32"/>
          <w:szCs w:val="32"/>
        </w:rPr>
        <w:t xml:space="preserve">个，转移支付项目 </w:t>
      </w:r>
      <w:r>
        <w:rPr>
          <w:rFonts w:hint="eastAsia" w:ascii="仿宋_GB2312" w:hAnsi="仿宋" w:eastAsia="仿宋_GB2312"/>
          <w:sz w:val="32"/>
          <w:szCs w:val="32"/>
          <w:lang w:val="en-US" w:eastAsia="zh-CN"/>
        </w:rPr>
        <w:t>0</w:t>
      </w:r>
      <w:r>
        <w:rPr>
          <w:rFonts w:hint="eastAsia" w:ascii="仿宋_GB2312" w:hAnsi="仿宋" w:eastAsia="仿宋_GB2312"/>
          <w:sz w:val="32"/>
          <w:szCs w:val="32"/>
        </w:rPr>
        <w:t xml:space="preserve">个，绩效自评覆盖率为 </w:t>
      </w:r>
      <w:r>
        <w:rPr>
          <w:rFonts w:hint="eastAsia" w:ascii="仿宋_GB2312" w:hAnsi="仿宋" w:eastAsia="仿宋_GB2312"/>
          <w:sz w:val="32"/>
          <w:szCs w:val="32"/>
          <w:lang w:val="en-US" w:eastAsia="zh-CN"/>
        </w:rPr>
        <w:t>100</w:t>
      </w:r>
      <w:r>
        <w:rPr>
          <w:rFonts w:hint="eastAsia" w:ascii="仿宋_GB2312" w:hAnsi="仿宋" w:eastAsia="仿宋_GB2312"/>
          <w:sz w:val="32"/>
          <w:szCs w:val="32"/>
        </w:rPr>
        <w:t>%。</w:t>
      </w:r>
    </w:p>
    <w:p w14:paraId="1B5CB531">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ascii="仿宋_GB2312" w:hAnsi="仿宋" w:eastAsia="仿宋_GB2312"/>
          <w:sz w:val="32"/>
          <w:szCs w:val="32"/>
        </w:rPr>
      </w:pPr>
      <w:r>
        <w:rPr>
          <w:rFonts w:hint="eastAsia" w:ascii="仿宋_GB2312" w:hAnsi="仿宋" w:eastAsia="仿宋_GB2312"/>
          <w:b/>
          <w:sz w:val="32"/>
          <w:szCs w:val="32"/>
        </w:rPr>
        <w:t>4.绩效结果应用情况。</w:t>
      </w:r>
      <w:r>
        <w:rPr>
          <w:rFonts w:hint="eastAsia" w:ascii="仿宋_GB2312" w:hAnsi="仿宋" w:eastAsia="仿宋_GB2312"/>
          <w:sz w:val="32"/>
          <w:szCs w:val="32"/>
        </w:rPr>
        <w:t>根据</w:t>
      </w:r>
      <w:r>
        <w:rPr>
          <w:rFonts w:hint="eastAsia" w:ascii="仿宋_GB2312" w:hAnsi="仿宋" w:eastAsia="仿宋_GB2312"/>
          <w:sz w:val="32"/>
          <w:szCs w:val="32"/>
          <w:lang w:eastAsia="zh-CN"/>
        </w:rPr>
        <w:t>2024</w:t>
      </w:r>
      <w:r>
        <w:rPr>
          <w:rFonts w:hint="eastAsia" w:ascii="仿宋_GB2312" w:hAnsi="仿宋" w:eastAsia="仿宋_GB2312"/>
          <w:sz w:val="32"/>
          <w:szCs w:val="32"/>
        </w:rPr>
        <w:t>年度绩效运行监控、绩效自评等情况，</w:t>
      </w:r>
      <w:r>
        <w:rPr>
          <w:rFonts w:hint="eastAsia" w:ascii="仿宋_GB2312" w:hAnsi="仿宋" w:eastAsia="仿宋_GB2312"/>
          <w:sz w:val="32"/>
          <w:szCs w:val="32"/>
          <w:lang w:eastAsia="zh-CN"/>
        </w:rPr>
        <w:t>2025</w:t>
      </w:r>
      <w:r>
        <w:rPr>
          <w:rFonts w:hint="eastAsia" w:ascii="仿宋_GB2312" w:hAnsi="仿宋" w:eastAsia="仿宋_GB2312"/>
          <w:sz w:val="32"/>
          <w:szCs w:val="32"/>
        </w:rPr>
        <w:t>年度部门预算项目</w:t>
      </w:r>
      <w:r>
        <w:rPr>
          <w:rFonts w:hint="eastAsia" w:ascii="仿宋_GB2312" w:hAnsi="仿宋" w:eastAsia="仿宋_GB2312"/>
          <w:sz w:val="32"/>
          <w:szCs w:val="32"/>
          <w:lang w:val="en-US" w:eastAsia="zh-CN"/>
        </w:rPr>
        <w:t>与2024年持平</w:t>
      </w:r>
      <w:r>
        <w:rPr>
          <w:rFonts w:hint="eastAsia" w:ascii="仿宋_GB2312" w:hAnsi="仿宋" w:eastAsia="仿宋_GB2312"/>
          <w:sz w:val="32"/>
          <w:szCs w:val="32"/>
        </w:rPr>
        <w:t>。</w:t>
      </w:r>
    </w:p>
    <w:p w14:paraId="7067FDF0">
      <w:pPr>
        <w:keepNext w:val="0"/>
        <w:keepLines w:val="0"/>
        <w:pageBreakBefore w:val="0"/>
        <w:kinsoku/>
        <w:wordWrap/>
        <w:overflowPunct/>
        <w:topLinePunct w:val="0"/>
        <w:autoSpaceDE/>
        <w:autoSpaceDN/>
        <w:bidi w:val="0"/>
        <w:adjustRightInd w:val="0"/>
        <w:snapToGrid w:val="0"/>
        <w:spacing w:line="560" w:lineRule="exact"/>
        <w:ind w:firstLine="643" w:firstLineChars="200"/>
        <w:contextualSpacing/>
        <w:textAlignment w:val="auto"/>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w:t>
      </w:r>
      <w:r>
        <w:rPr>
          <w:rFonts w:hint="eastAsia" w:ascii="楷体_GB2312" w:hAnsi="楷体" w:eastAsia="楷体_GB2312" w:cs="宋体"/>
          <w:b/>
          <w:bCs/>
          <w:kern w:val="0"/>
          <w:sz w:val="32"/>
          <w:szCs w:val="32"/>
          <w:lang w:eastAsia="zh-CN"/>
        </w:rPr>
        <w:t>2025</w:t>
      </w:r>
      <w:r>
        <w:rPr>
          <w:rFonts w:hint="eastAsia" w:ascii="楷体_GB2312" w:hAnsi="楷体" w:eastAsia="楷体_GB2312" w:cs="宋体"/>
          <w:b/>
          <w:bCs/>
          <w:kern w:val="0"/>
          <w:sz w:val="32"/>
          <w:szCs w:val="32"/>
        </w:rPr>
        <w:t>年绩效目标编制情况</w:t>
      </w:r>
    </w:p>
    <w:p w14:paraId="5ED3C404">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仿宋_GB2312" w:hAnsi="仿宋" w:eastAsia="仿宋_GB2312"/>
          <w:sz w:val="32"/>
          <w:szCs w:val="32"/>
        </w:rPr>
      </w:pPr>
      <w:r>
        <w:rPr>
          <w:rFonts w:hint="eastAsia" w:ascii="仿宋_GB2312" w:hAnsi="仿宋" w:eastAsia="仿宋_GB2312"/>
          <w:sz w:val="32"/>
          <w:szCs w:val="32"/>
          <w:lang w:eastAsia="zh-CN"/>
        </w:rPr>
        <w:t>2025</w:t>
      </w:r>
      <w:r>
        <w:rPr>
          <w:rFonts w:hint="eastAsia" w:ascii="仿宋_GB2312" w:hAnsi="仿宋" w:eastAsia="仿宋_GB2312"/>
          <w:sz w:val="32"/>
          <w:szCs w:val="32"/>
        </w:rPr>
        <w:t>年，纳入</w:t>
      </w:r>
      <w:r>
        <w:rPr>
          <w:rFonts w:hint="eastAsia" w:ascii="仿宋_GB2312" w:hAnsi="仿宋" w:eastAsia="仿宋_GB2312"/>
          <w:sz w:val="32"/>
          <w:szCs w:val="32"/>
          <w:lang w:eastAsia="zh-CN"/>
        </w:rPr>
        <w:t>单位</w:t>
      </w:r>
      <w:r>
        <w:rPr>
          <w:rFonts w:hint="eastAsia" w:ascii="仿宋_GB2312" w:hAnsi="仿宋" w:eastAsia="仿宋_GB2312"/>
          <w:sz w:val="32"/>
          <w:szCs w:val="32"/>
        </w:rPr>
        <w:t>预算绩效目标管理的项目</w:t>
      </w:r>
      <w:r>
        <w:rPr>
          <w:rFonts w:hint="eastAsia" w:ascii="仿宋_GB2312" w:hAnsi="仿宋" w:eastAsia="仿宋_GB2312"/>
          <w:sz w:val="32"/>
          <w:szCs w:val="32"/>
          <w:lang w:val="en-US" w:eastAsia="zh-CN"/>
        </w:rPr>
        <w:t>8</w:t>
      </w:r>
      <w:r>
        <w:rPr>
          <w:rFonts w:hint="eastAsia" w:ascii="仿宋_GB2312" w:hAnsi="仿宋" w:eastAsia="仿宋_GB2312"/>
          <w:sz w:val="32"/>
          <w:szCs w:val="32"/>
        </w:rPr>
        <w:t>个。其中，部门整体支出绩效目标围绕部门管理、履职效果、能力建设三个维度，设置二级指标</w:t>
      </w:r>
      <w:r>
        <w:rPr>
          <w:rFonts w:hint="eastAsia" w:ascii="仿宋_GB2312" w:hAnsi="仿宋" w:eastAsia="仿宋_GB2312"/>
          <w:sz w:val="32"/>
          <w:szCs w:val="32"/>
          <w:lang w:val="en-US" w:eastAsia="zh-CN"/>
        </w:rPr>
        <w:t>11</w:t>
      </w:r>
      <w:r>
        <w:rPr>
          <w:rFonts w:hint="eastAsia" w:ascii="仿宋_GB2312" w:hAnsi="仿宋" w:eastAsia="仿宋_GB2312"/>
          <w:sz w:val="32"/>
          <w:szCs w:val="32"/>
        </w:rPr>
        <w:t>个、三级指标</w:t>
      </w:r>
      <w:r>
        <w:rPr>
          <w:rFonts w:hint="eastAsia" w:ascii="仿宋_GB2312" w:hAnsi="仿宋" w:eastAsia="仿宋_GB2312"/>
          <w:sz w:val="32"/>
          <w:szCs w:val="32"/>
          <w:lang w:val="en-US" w:eastAsia="zh-CN"/>
        </w:rPr>
        <w:t>19</w:t>
      </w:r>
      <w:r>
        <w:rPr>
          <w:rFonts w:hint="eastAsia" w:ascii="仿宋_GB2312" w:hAnsi="仿宋" w:eastAsia="仿宋_GB2312"/>
          <w:sz w:val="32"/>
          <w:szCs w:val="32"/>
        </w:rPr>
        <w:t>个；项目支出绩效目标围绕成本指标、产出指标、效益指标、满意度指标四个维度，设置二级指标</w:t>
      </w:r>
      <w:r>
        <w:rPr>
          <w:rFonts w:hint="eastAsia" w:ascii="仿宋_GB2312" w:hAnsi="仿宋" w:eastAsia="仿宋_GB2312"/>
          <w:sz w:val="32"/>
          <w:szCs w:val="32"/>
          <w:lang w:val="en-US" w:eastAsia="zh-CN"/>
        </w:rPr>
        <w:t>50</w:t>
      </w:r>
      <w:r>
        <w:rPr>
          <w:rFonts w:hint="eastAsia" w:ascii="仿宋_GB2312" w:hAnsi="仿宋" w:eastAsia="仿宋_GB2312"/>
          <w:sz w:val="32"/>
          <w:szCs w:val="32"/>
        </w:rPr>
        <w:t>个、三级指标</w:t>
      </w:r>
      <w:r>
        <w:rPr>
          <w:rFonts w:hint="eastAsia" w:ascii="仿宋_GB2312" w:hAnsi="仿宋" w:eastAsia="仿宋_GB2312"/>
          <w:sz w:val="32"/>
          <w:szCs w:val="32"/>
          <w:lang w:val="en-US" w:eastAsia="zh-CN"/>
        </w:rPr>
        <w:t>74</w:t>
      </w:r>
      <w:r>
        <w:rPr>
          <w:rFonts w:hint="eastAsia" w:ascii="仿宋_GB2312" w:hAnsi="仿宋" w:eastAsia="仿宋_GB2312"/>
          <w:sz w:val="32"/>
          <w:szCs w:val="32"/>
        </w:rPr>
        <w:t>个。各项绩效目标内容指向明确、细化量化、合理可行，符合规定的格式要求。</w:t>
      </w:r>
    </w:p>
    <w:p w14:paraId="1B6BE290">
      <w:pPr>
        <w:keepNext w:val="0"/>
        <w:keepLines w:val="0"/>
        <w:pageBreakBefore w:val="0"/>
        <w:kinsoku/>
        <w:wordWrap/>
        <w:overflowPunct/>
        <w:topLinePunct w:val="0"/>
        <w:autoSpaceDE/>
        <w:autoSpaceDN/>
        <w:bidi w:val="0"/>
        <w:adjustRightInd w:val="0"/>
        <w:snapToGrid w:val="0"/>
        <w:spacing w:line="560" w:lineRule="exact"/>
        <w:ind w:firstLine="643" w:firstLineChars="200"/>
        <w:contextualSpacing/>
        <w:textAlignment w:val="auto"/>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十一、名词解释</w:t>
      </w:r>
    </w:p>
    <w:p w14:paraId="476EBD1E">
      <w:pPr>
        <w:keepNext w:val="0"/>
        <w:keepLines w:val="0"/>
        <w:pageBreakBefore w:val="0"/>
        <w:kinsoku/>
        <w:wordWrap/>
        <w:overflowPunct/>
        <w:topLinePunct w:val="0"/>
        <w:autoSpaceDE/>
        <w:autoSpaceDN/>
        <w:bidi w:val="0"/>
        <w:adjustRightInd w:val="0"/>
        <w:snapToGrid w:val="0"/>
        <w:spacing w:line="560" w:lineRule="exact"/>
        <w:ind w:firstLine="643" w:firstLineChars="200"/>
        <w:contextualSpacing/>
        <w:textAlignment w:val="auto"/>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1、财政拨款:</w:t>
      </w:r>
      <w:r>
        <w:rPr>
          <w:rFonts w:hint="eastAsia" w:ascii="仿宋_GB2312" w:hAnsi="CIDFont+F6" w:eastAsia="仿宋_GB2312"/>
          <w:color w:val="000000"/>
          <w:sz w:val="32"/>
          <w:szCs w:val="32"/>
        </w:rPr>
        <w:t>指由一般公共预算、政府性基金预算、国有资本经营预算安排的财政拨款数。</w:t>
      </w:r>
    </w:p>
    <w:p w14:paraId="4CC6C57A">
      <w:pPr>
        <w:keepNext w:val="0"/>
        <w:keepLines w:val="0"/>
        <w:pageBreakBefore w:val="0"/>
        <w:kinsoku/>
        <w:wordWrap/>
        <w:overflowPunct/>
        <w:topLinePunct w:val="0"/>
        <w:autoSpaceDE/>
        <w:autoSpaceDN/>
        <w:bidi w:val="0"/>
        <w:adjustRightInd w:val="0"/>
        <w:snapToGrid w:val="0"/>
        <w:spacing w:line="560" w:lineRule="exact"/>
        <w:ind w:firstLine="643" w:firstLineChars="200"/>
        <w:contextualSpacing/>
        <w:textAlignment w:val="auto"/>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2、一般公共预算:</w:t>
      </w:r>
      <w:r>
        <w:rPr>
          <w:rFonts w:hint="eastAsia" w:ascii="仿宋_GB2312" w:hAnsi="CIDFont+F6" w:eastAsia="仿宋_GB2312"/>
          <w:color w:val="000000"/>
          <w:sz w:val="32"/>
          <w:szCs w:val="32"/>
        </w:rPr>
        <w:t>包括公共财政拨款（补助）资金、专项收入。</w:t>
      </w:r>
    </w:p>
    <w:p w14:paraId="7908A71B">
      <w:pPr>
        <w:keepNext w:val="0"/>
        <w:keepLines w:val="0"/>
        <w:pageBreakBefore w:val="0"/>
        <w:kinsoku/>
        <w:wordWrap/>
        <w:overflowPunct/>
        <w:topLinePunct w:val="0"/>
        <w:autoSpaceDE/>
        <w:autoSpaceDN/>
        <w:bidi w:val="0"/>
        <w:adjustRightInd w:val="0"/>
        <w:snapToGrid w:val="0"/>
        <w:spacing w:line="560" w:lineRule="exact"/>
        <w:ind w:firstLine="643" w:firstLineChars="200"/>
        <w:contextualSpacing/>
        <w:textAlignment w:val="auto"/>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3、财政专户管理资金:</w:t>
      </w:r>
      <w:r>
        <w:rPr>
          <w:rFonts w:hint="eastAsia" w:ascii="仿宋_GB2312" w:hAnsi="CIDFont+F6" w:eastAsia="仿宋_GB2312"/>
          <w:color w:val="000000"/>
          <w:sz w:val="32"/>
          <w:szCs w:val="32"/>
        </w:rPr>
        <w:t>包括专户管理行政事业性收费（主要是教育收费）、其他非税收入。</w:t>
      </w:r>
    </w:p>
    <w:p w14:paraId="4CE172D2">
      <w:pPr>
        <w:keepNext w:val="0"/>
        <w:keepLines w:val="0"/>
        <w:pageBreakBefore w:val="0"/>
        <w:kinsoku/>
        <w:wordWrap/>
        <w:overflowPunct/>
        <w:topLinePunct w:val="0"/>
        <w:autoSpaceDE/>
        <w:autoSpaceDN/>
        <w:bidi w:val="0"/>
        <w:adjustRightInd w:val="0"/>
        <w:snapToGrid w:val="0"/>
        <w:spacing w:line="560" w:lineRule="exact"/>
        <w:ind w:firstLine="643" w:firstLineChars="200"/>
        <w:contextualSpacing/>
        <w:textAlignment w:val="auto"/>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4、其他资金:</w:t>
      </w:r>
      <w:r>
        <w:rPr>
          <w:rFonts w:hint="eastAsia" w:ascii="仿宋_GB2312" w:hAnsi="CIDFont+F6" w:eastAsia="仿宋_GB2312"/>
          <w:color w:val="000000"/>
          <w:sz w:val="32"/>
          <w:szCs w:val="32"/>
        </w:rPr>
        <w:t>包括事业收入、事业经营收入、其他收入等。</w:t>
      </w:r>
    </w:p>
    <w:p w14:paraId="6D5803A7">
      <w:pPr>
        <w:keepNext w:val="0"/>
        <w:keepLines w:val="0"/>
        <w:pageBreakBefore w:val="0"/>
        <w:kinsoku/>
        <w:wordWrap/>
        <w:overflowPunct/>
        <w:topLinePunct w:val="0"/>
        <w:autoSpaceDE/>
        <w:autoSpaceDN/>
        <w:bidi w:val="0"/>
        <w:adjustRightInd w:val="0"/>
        <w:snapToGrid w:val="0"/>
        <w:spacing w:line="560" w:lineRule="exact"/>
        <w:ind w:firstLine="643" w:firstLineChars="200"/>
        <w:contextualSpacing/>
        <w:textAlignment w:val="auto"/>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5、基本支出:</w:t>
      </w:r>
      <w:r>
        <w:rPr>
          <w:rFonts w:hint="eastAsia" w:ascii="仿宋_GB2312" w:hAnsi="CIDFont+F6" w:eastAsia="仿宋_GB2312"/>
          <w:color w:val="000000"/>
          <w:sz w:val="32"/>
          <w:szCs w:val="32"/>
        </w:rPr>
        <w:t>包括人员经费、公用经费（定额）。其中，人员经费包括工资福利支出、对个人和家庭的补助。</w:t>
      </w:r>
    </w:p>
    <w:p w14:paraId="696C919E">
      <w:pPr>
        <w:keepNext w:val="0"/>
        <w:keepLines w:val="0"/>
        <w:pageBreakBefore w:val="0"/>
        <w:kinsoku/>
        <w:wordWrap/>
        <w:overflowPunct/>
        <w:topLinePunct w:val="0"/>
        <w:autoSpaceDE/>
        <w:autoSpaceDN/>
        <w:bidi w:val="0"/>
        <w:adjustRightInd w:val="0"/>
        <w:snapToGrid w:val="0"/>
        <w:spacing w:line="560" w:lineRule="exact"/>
        <w:ind w:firstLine="643" w:firstLineChars="200"/>
        <w:contextualSpacing/>
        <w:textAlignment w:val="auto"/>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6、项目支出:</w:t>
      </w:r>
      <w:r>
        <w:rPr>
          <w:rFonts w:hint="eastAsia" w:ascii="仿宋_GB2312" w:hAnsi="CIDFont+F6" w:eastAsia="仿宋_GB2312"/>
          <w:color w:val="000000"/>
          <w:sz w:val="32"/>
          <w:szCs w:val="32"/>
        </w:rPr>
        <w:t>部门（单位）支出预算的组成部分，是各部门（单位）为完成其特定的行政任务或事业发展目标，在基本支出预算之外编制的年度项目支出计划。</w:t>
      </w:r>
    </w:p>
    <w:p w14:paraId="3E4D9AA1">
      <w:pPr>
        <w:keepNext w:val="0"/>
        <w:keepLines w:val="0"/>
        <w:pageBreakBefore w:val="0"/>
        <w:kinsoku/>
        <w:wordWrap/>
        <w:overflowPunct/>
        <w:topLinePunct w:val="0"/>
        <w:autoSpaceDE/>
        <w:autoSpaceDN/>
        <w:bidi w:val="0"/>
        <w:adjustRightInd w:val="0"/>
        <w:snapToGrid w:val="0"/>
        <w:spacing w:line="560" w:lineRule="exact"/>
        <w:ind w:firstLine="643" w:firstLineChars="200"/>
        <w:contextualSpacing/>
        <w:textAlignment w:val="auto"/>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7、“三公”经费:</w:t>
      </w:r>
      <w:r>
        <w:rPr>
          <w:rFonts w:hint="eastAsia" w:ascii="仿宋_GB2312" w:hAnsi="CIDFont+F6" w:eastAsia="仿宋_GB2312"/>
          <w:color w:val="000000"/>
          <w:sz w:val="32"/>
          <w:szCs w:val="32"/>
        </w:rPr>
        <w:t>指因公出国（境）费、公务用车购置及运行维护费和公务接待费。其中，因公出国（境）费反映单位公务出国（境）的国际旅费、国外城市间交通费、住宿费、伙食费、培训费、公杂费等支出；公务用车运行维护费反映单位按规定保留的公务用车租用费、燃料费、维修费、过路过桥费、保险费、安全奖励费用等支出；公务接待费反映单位按规定开支的各类公务接待（含外宾接待）支出。</w:t>
      </w:r>
    </w:p>
    <w:p w14:paraId="4CA7FF0F">
      <w:pPr>
        <w:keepNext w:val="0"/>
        <w:keepLines w:val="0"/>
        <w:pageBreakBefore w:val="0"/>
        <w:kinsoku/>
        <w:wordWrap/>
        <w:overflowPunct/>
        <w:topLinePunct w:val="0"/>
        <w:autoSpaceDE/>
        <w:autoSpaceDN/>
        <w:bidi w:val="0"/>
        <w:adjustRightInd w:val="0"/>
        <w:snapToGrid w:val="0"/>
        <w:spacing w:line="560" w:lineRule="exact"/>
        <w:ind w:firstLine="643" w:firstLineChars="200"/>
        <w:contextualSpacing/>
        <w:textAlignment w:val="auto"/>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8、机关运行经费:</w:t>
      </w:r>
      <w:r>
        <w:rPr>
          <w:rFonts w:hint="eastAsia" w:ascii="仿宋_GB2312" w:hAnsi="CIDFont+F6" w:eastAsia="仿宋_GB2312"/>
          <w:color w:val="000000"/>
          <w:sz w:val="32"/>
          <w:szCs w:val="32"/>
        </w:rPr>
        <w:t>为保障行政单位（包括实行公务员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18C50624">
      <w:pPr>
        <w:keepNext w:val="0"/>
        <w:keepLines w:val="0"/>
        <w:pageBreakBefore w:val="0"/>
        <w:kinsoku/>
        <w:wordWrap/>
        <w:overflowPunct/>
        <w:topLinePunct w:val="0"/>
        <w:autoSpaceDE/>
        <w:autoSpaceDN/>
        <w:bidi w:val="0"/>
        <w:adjustRightInd w:val="0"/>
        <w:snapToGrid w:val="0"/>
        <w:spacing w:line="560" w:lineRule="exact"/>
        <w:contextualSpacing/>
        <w:jc w:val="right"/>
        <w:textAlignment w:val="auto"/>
        <w:rPr>
          <w:rFonts w:hint="eastAsia" w:ascii="仿宋_GB2312" w:hAnsi="CIDFont+F6" w:eastAsia="仿宋_GB2312"/>
          <w:color w:val="000000"/>
          <w:sz w:val="32"/>
          <w:szCs w:val="32"/>
        </w:rPr>
      </w:pPr>
    </w:p>
    <w:p w14:paraId="453FCEBD">
      <w:pPr>
        <w:keepNext w:val="0"/>
        <w:keepLines w:val="0"/>
        <w:pageBreakBefore w:val="0"/>
        <w:kinsoku/>
        <w:wordWrap/>
        <w:overflowPunct/>
        <w:topLinePunct w:val="0"/>
        <w:autoSpaceDE/>
        <w:autoSpaceDN/>
        <w:bidi w:val="0"/>
        <w:adjustRightInd w:val="0"/>
        <w:snapToGrid w:val="0"/>
        <w:spacing w:line="560" w:lineRule="exact"/>
        <w:contextualSpacing/>
        <w:jc w:val="right"/>
        <w:textAlignment w:val="auto"/>
        <w:rPr>
          <w:rFonts w:hint="eastAsia" w:ascii="仿宋_GB2312" w:hAnsi="CIDFont+F6" w:eastAsia="仿宋_GB2312"/>
          <w:color w:val="000000"/>
          <w:sz w:val="32"/>
          <w:szCs w:val="32"/>
        </w:rPr>
      </w:pPr>
    </w:p>
    <w:p w14:paraId="1DA826AD">
      <w:pPr>
        <w:keepNext w:val="0"/>
        <w:keepLines w:val="0"/>
        <w:pageBreakBefore w:val="0"/>
        <w:kinsoku/>
        <w:wordWrap/>
        <w:overflowPunct/>
        <w:topLinePunct w:val="0"/>
        <w:autoSpaceDE/>
        <w:autoSpaceDN/>
        <w:bidi w:val="0"/>
        <w:adjustRightInd w:val="0"/>
        <w:snapToGrid w:val="0"/>
        <w:spacing w:line="560" w:lineRule="exact"/>
        <w:ind w:right="1120"/>
        <w:contextualSpacing/>
        <w:jc w:val="right"/>
        <w:textAlignment w:val="auto"/>
        <w:rPr>
          <w:rFonts w:hint="eastAsia" w:ascii="仿宋_GB2312" w:hAnsi="CIDFont+F6" w:eastAsia="仿宋_GB2312"/>
          <w:color w:val="000000"/>
          <w:sz w:val="32"/>
          <w:szCs w:val="32"/>
          <w:lang w:val="en-US" w:eastAsia="zh-CN"/>
        </w:rPr>
      </w:pPr>
      <w:r>
        <w:rPr>
          <w:rFonts w:hint="eastAsia" w:ascii="仿宋_GB2312" w:hAnsi="CIDFont+F6" w:eastAsia="仿宋_GB2312"/>
          <w:color w:val="000000"/>
          <w:sz w:val="32"/>
          <w:szCs w:val="32"/>
          <w:lang w:val="en-US" w:eastAsia="zh-CN"/>
        </w:rPr>
        <w:t>华池县统计局</w:t>
      </w:r>
    </w:p>
    <w:p w14:paraId="77E85168">
      <w:pPr>
        <w:keepNext w:val="0"/>
        <w:keepLines w:val="0"/>
        <w:pageBreakBefore w:val="0"/>
        <w:kinsoku/>
        <w:wordWrap/>
        <w:overflowPunct/>
        <w:topLinePunct w:val="0"/>
        <w:autoSpaceDE/>
        <w:autoSpaceDN/>
        <w:bidi w:val="0"/>
        <w:adjustRightInd w:val="0"/>
        <w:snapToGrid w:val="0"/>
        <w:spacing w:line="560" w:lineRule="exact"/>
        <w:ind w:right="1120"/>
        <w:contextualSpacing/>
        <w:jc w:val="right"/>
        <w:textAlignment w:val="auto"/>
        <w:rPr>
          <w:rFonts w:ascii="仿宋_GB2312" w:eastAsia="仿宋_GB2312"/>
          <w:sz w:val="32"/>
          <w:szCs w:val="32"/>
        </w:rPr>
      </w:pPr>
      <w:r>
        <w:rPr>
          <w:rFonts w:hint="eastAsia" w:ascii="仿宋_GB2312" w:hAnsi="CIDFont+F6" w:eastAsia="仿宋_GB2312"/>
          <w:color w:val="000000"/>
          <w:sz w:val="32"/>
          <w:szCs w:val="32"/>
          <w:lang w:val="en-US" w:eastAsia="zh-CN"/>
        </w:rPr>
        <w:t>2025</w:t>
      </w:r>
      <w:r>
        <w:rPr>
          <w:rFonts w:hint="eastAsia" w:ascii="仿宋_GB2312" w:hAnsi="CIDFont+F6" w:eastAsia="仿宋_GB2312"/>
          <w:color w:val="000000"/>
          <w:sz w:val="32"/>
          <w:szCs w:val="32"/>
        </w:rPr>
        <w:t>年</w:t>
      </w:r>
      <w:r>
        <w:rPr>
          <w:rFonts w:hint="eastAsia" w:ascii="仿宋_GB2312" w:hAnsi="CIDFont+F6" w:eastAsia="仿宋_GB2312"/>
          <w:color w:val="000000"/>
          <w:sz w:val="32"/>
          <w:szCs w:val="32"/>
          <w:lang w:val="en-US" w:eastAsia="zh-CN"/>
        </w:rPr>
        <w:t>2</w:t>
      </w:r>
      <w:r>
        <w:rPr>
          <w:rFonts w:hint="eastAsia" w:ascii="仿宋_GB2312" w:hAnsi="CIDFont+F6" w:eastAsia="仿宋_GB2312"/>
          <w:color w:val="000000"/>
          <w:sz w:val="32"/>
          <w:szCs w:val="32"/>
        </w:rPr>
        <w:t>月</w:t>
      </w:r>
      <w:r>
        <w:rPr>
          <w:rFonts w:hint="eastAsia" w:ascii="仿宋_GB2312" w:hAnsi="CIDFont+F6" w:eastAsia="仿宋_GB2312"/>
          <w:color w:val="000000"/>
          <w:sz w:val="32"/>
          <w:szCs w:val="32"/>
          <w:lang w:val="en-US" w:eastAsia="zh-CN"/>
        </w:rPr>
        <w:t>7</w:t>
      </w:r>
      <w:r>
        <w:rPr>
          <w:rFonts w:hint="eastAsia" w:ascii="仿宋_GB2312" w:hAnsi="CIDFont+F6" w:eastAsia="仿宋_GB2312"/>
          <w:color w:val="000000"/>
          <w:sz w:val="32"/>
          <w:szCs w:val="32"/>
        </w:rPr>
        <w:t>日</w:t>
      </w:r>
    </w:p>
    <w:p w14:paraId="104DAE91">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textAlignment w:val="auto"/>
        <w:rPr>
          <w:rFonts w:ascii="仿宋_GB2312" w:hAnsi="宋体" w:eastAsia="仿宋_GB2312" w:cs="宋体"/>
          <w:kern w:val="0"/>
          <w:sz w:val="32"/>
          <w:szCs w:val="32"/>
        </w:rPr>
      </w:pPr>
    </w:p>
    <w:p w14:paraId="0358EE45">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textAlignment w:val="auto"/>
        <w:rPr>
          <w:rFonts w:ascii="仿宋_GB2312" w:hAnsi="宋体" w:eastAsia="仿宋_GB2312" w:cs="宋体"/>
          <w:spacing w:val="-20"/>
          <w:kern w:val="0"/>
          <w:sz w:val="32"/>
          <w:szCs w:val="32"/>
        </w:rPr>
      </w:pPr>
      <w:r>
        <w:rPr>
          <w:rFonts w:hint="eastAsia" w:ascii="仿宋_GB2312" w:hAnsi="宋体" w:eastAsia="仿宋_GB2312" w:cs="宋体"/>
          <w:kern w:val="0"/>
          <w:sz w:val="32"/>
          <w:szCs w:val="32"/>
        </w:rPr>
        <w:t>附件：</w:t>
      </w:r>
      <w:r>
        <w:rPr>
          <w:rFonts w:hint="eastAsia" w:ascii="仿宋_GB2312" w:hAnsi="宋体" w:eastAsia="仿宋_GB2312" w:cs="宋体"/>
          <w:spacing w:val="-20"/>
          <w:kern w:val="0"/>
          <w:sz w:val="32"/>
          <w:szCs w:val="32"/>
        </w:rPr>
        <w:t>1.</w:t>
      </w:r>
      <w:r>
        <w:rPr>
          <w:rFonts w:hint="eastAsia" w:ascii="仿宋_GB2312" w:hAnsi="CIDFont+F6" w:eastAsia="仿宋_GB2312"/>
          <w:color w:val="000000"/>
          <w:sz w:val="32"/>
          <w:szCs w:val="32"/>
          <w:lang w:val="en-US" w:eastAsia="zh-CN"/>
        </w:rPr>
        <w:t>华池县统计局</w:t>
      </w:r>
      <w:r>
        <w:rPr>
          <w:rFonts w:hint="eastAsia" w:ascii="仿宋_GB2312" w:hAnsi="宋体" w:eastAsia="仿宋_GB2312" w:cs="宋体"/>
          <w:spacing w:val="-20"/>
          <w:kern w:val="0"/>
          <w:sz w:val="32"/>
          <w:szCs w:val="32"/>
        </w:rPr>
        <w:t xml:space="preserve"> </w:t>
      </w:r>
      <w:r>
        <w:rPr>
          <w:rFonts w:hint="eastAsia" w:ascii="仿宋_GB2312" w:hAnsi="宋体" w:eastAsia="仿宋_GB2312" w:cs="宋体"/>
          <w:spacing w:val="-20"/>
          <w:kern w:val="0"/>
          <w:sz w:val="32"/>
          <w:szCs w:val="32"/>
          <w:lang w:eastAsia="zh-CN"/>
        </w:rPr>
        <w:t>2025</w:t>
      </w:r>
      <w:r>
        <w:rPr>
          <w:rFonts w:hint="eastAsia" w:ascii="仿宋_GB2312" w:hAnsi="宋体" w:eastAsia="仿宋_GB2312" w:cs="宋体"/>
          <w:spacing w:val="-20"/>
          <w:kern w:val="0"/>
          <w:sz w:val="32"/>
          <w:szCs w:val="32"/>
        </w:rPr>
        <w:t>年</w:t>
      </w:r>
      <w:r>
        <w:rPr>
          <w:rFonts w:hint="eastAsia" w:ascii="仿宋_GB2312" w:hAnsi="CIDFont+F6" w:eastAsia="仿宋_GB2312"/>
          <w:color w:val="000000"/>
          <w:sz w:val="32"/>
          <w:szCs w:val="32"/>
        </w:rPr>
        <w:t>单位</w:t>
      </w:r>
      <w:r>
        <w:rPr>
          <w:rFonts w:hint="eastAsia" w:ascii="仿宋_GB2312" w:hAnsi="宋体" w:eastAsia="仿宋_GB2312" w:cs="宋体"/>
          <w:spacing w:val="-20"/>
          <w:kern w:val="0"/>
          <w:sz w:val="32"/>
          <w:szCs w:val="32"/>
        </w:rPr>
        <w:t>预算公开表</w:t>
      </w:r>
    </w:p>
    <w:p w14:paraId="4E90257E">
      <w:pPr>
        <w:keepNext w:val="0"/>
        <w:keepLines w:val="0"/>
        <w:pageBreakBefore w:val="0"/>
        <w:kinsoku/>
        <w:wordWrap/>
        <w:overflowPunct/>
        <w:topLinePunct w:val="0"/>
        <w:autoSpaceDE/>
        <w:autoSpaceDN/>
        <w:bidi w:val="0"/>
        <w:adjustRightInd w:val="0"/>
        <w:snapToGrid w:val="0"/>
        <w:spacing w:line="560" w:lineRule="exact"/>
        <w:ind w:left="1796" w:leftChars="767" w:hanging="185" w:hangingChars="58"/>
        <w:contextualSpacing/>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2.</w:t>
      </w:r>
      <w:r>
        <w:rPr>
          <w:rFonts w:hint="eastAsia" w:ascii="仿宋_GB2312" w:hAnsi="CIDFont+F6" w:eastAsia="仿宋_GB2312"/>
          <w:color w:val="000000"/>
          <w:sz w:val="32"/>
          <w:szCs w:val="32"/>
          <w:lang w:val="en-US" w:eastAsia="zh-CN"/>
        </w:rPr>
        <w:t>华池县统计局</w:t>
      </w:r>
      <w:r>
        <w:rPr>
          <w:rFonts w:hint="eastAsia" w:ascii="仿宋_GB2312" w:hAnsi="宋体" w:eastAsia="仿宋_GB2312" w:cs="宋体"/>
          <w:spacing w:val="-20"/>
          <w:kern w:val="0"/>
          <w:sz w:val="32"/>
          <w:szCs w:val="32"/>
        </w:rPr>
        <w:t xml:space="preserve"> </w:t>
      </w:r>
      <w:r>
        <w:rPr>
          <w:rFonts w:hint="eastAsia" w:ascii="仿宋_GB2312" w:hAnsi="宋体" w:eastAsia="仿宋_GB2312" w:cs="宋体"/>
          <w:kern w:val="0"/>
          <w:sz w:val="32"/>
          <w:szCs w:val="32"/>
          <w:lang w:eastAsia="zh-CN"/>
        </w:rPr>
        <w:t>2025</w:t>
      </w:r>
      <w:r>
        <w:rPr>
          <w:rFonts w:hint="eastAsia" w:ascii="仿宋_GB2312" w:hAnsi="宋体" w:eastAsia="仿宋_GB2312" w:cs="宋体"/>
          <w:kern w:val="0"/>
          <w:sz w:val="32"/>
          <w:szCs w:val="32"/>
        </w:rPr>
        <w:t>年</w:t>
      </w:r>
      <w:r>
        <w:rPr>
          <w:rFonts w:hint="eastAsia" w:ascii="仿宋_GB2312" w:hAnsi="CIDFont+F6" w:eastAsia="仿宋_GB2312"/>
          <w:color w:val="000000"/>
          <w:sz w:val="32"/>
          <w:szCs w:val="32"/>
        </w:rPr>
        <w:t>单位</w:t>
      </w:r>
      <w:r>
        <w:rPr>
          <w:rFonts w:hint="eastAsia" w:ascii="仿宋_GB2312" w:hAnsi="宋体" w:eastAsia="仿宋_GB2312" w:cs="宋体"/>
          <w:kern w:val="0"/>
          <w:sz w:val="32"/>
          <w:szCs w:val="32"/>
        </w:rPr>
        <w:t>整体支出绩效目标及预算项目绩效目标表</w:t>
      </w:r>
    </w:p>
    <w:p w14:paraId="22DB4760">
      <w:pPr>
        <w:keepNext w:val="0"/>
        <w:keepLines w:val="0"/>
        <w:pageBreakBefore w:val="0"/>
        <w:tabs>
          <w:tab w:val="left" w:pos="1272"/>
        </w:tabs>
        <w:kinsoku/>
        <w:wordWrap/>
        <w:overflowPunct/>
        <w:topLinePunct w:val="0"/>
        <w:autoSpaceDE/>
        <w:autoSpaceDN/>
        <w:bidi w:val="0"/>
        <w:spacing w:line="560" w:lineRule="exact"/>
        <w:textAlignment w:val="auto"/>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imesNewRomanPS-BoldMT">
    <w:altName w:val="Times New Roman"/>
    <w:panose1 w:val="00000000000000000000"/>
    <w:charset w:val="00"/>
    <w:family w:val="roman"/>
    <w:pitch w:val="default"/>
    <w:sig w:usb0="00000000" w:usb1="00000000" w:usb2="00000000" w:usb3="00000000" w:csb0="00000000" w:csb1="00000000"/>
  </w:font>
  <w:font w:name="CIDFont+F6">
    <w:altName w:val="Times New Roman"/>
    <w:panose1 w:val="00000000000000000000"/>
    <w:charset w:val="00"/>
    <w:family w:val="roman"/>
    <w:pitch w:val="default"/>
    <w:sig w:usb0="00000000" w:usb1="00000000" w:usb2="00000000" w:usb3="00000000" w:csb0="00000000" w:csb1="00000000"/>
  </w:font>
  <w:font w:name="CIDFont+F4">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BF69E">
    <w:pPr>
      <w:pStyle w:val="5"/>
      <w:jc w:val="center"/>
    </w:pPr>
  </w:p>
  <w:p w14:paraId="18AFAB9B">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C854A">
    <w:pPr>
      <w:pStyle w:val="5"/>
      <w:jc w:val="center"/>
    </w:pPr>
    <w:r>
      <w:fldChar w:fldCharType="begin"/>
    </w:r>
    <w:r>
      <w:instrText xml:space="preserve">PAGE   \* MERGEFORMAT</w:instrText>
    </w:r>
    <w:r>
      <w:fldChar w:fldCharType="separate"/>
    </w:r>
    <w:r>
      <w:rPr>
        <w:lang w:val="zh-CN"/>
      </w:rPr>
      <w:t>27</w:t>
    </w:r>
    <w:r>
      <w:fldChar w:fldCharType="end"/>
    </w:r>
  </w:p>
  <w:p w14:paraId="7F222DAC">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jNDcxNWMxNzA4MWQ4MjRlNWExMTQwYmYzY2EyYmIifQ=="/>
  </w:docVars>
  <w:rsids>
    <w:rsidRoot w:val="00FB4362"/>
    <w:rsid w:val="00000C55"/>
    <w:rsid w:val="00001446"/>
    <w:rsid w:val="0001130C"/>
    <w:rsid w:val="00011F27"/>
    <w:rsid w:val="00012457"/>
    <w:rsid w:val="00021BBF"/>
    <w:rsid w:val="00030443"/>
    <w:rsid w:val="00030F4C"/>
    <w:rsid w:val="0003278A"/>
    <w:rsid w:val="000368FE"/>
    <w:rsid w:val="00042A06"/>
    <w:rsid w:val="00043601"/>
    <w:rsid w:val="000442B5"/>
    <w:rsid w:val="0004639D"/>
    <w:rsid w:val="000465E2"/>
    <w:rsid w:val="0005161F"/>
    <w:rsid w:val="000547D1"/>
    <w:rsid w:val="00055759"/>
    <w:rsid w:val="000612EE"/>
    <w:rsid w:val="00061BAF"/>
    <w:rsid w:val="0006337D"/>
    <w:rsid w:val="00074626"/>
    <w:rsid w:val="00076B62"/>
    <w:rsid w:val="00082093"/>
    <w:rsid w:val="000861D5"/>
    <w:rsid w:val="0009273A"/>
    <w:rsid w:val="000A20A7"/>
    <w:rsid w:val="000A655B"/>
    <w:rsid w:val="000B54DD"/>
    <w:rsid w:val="000C2055"/>
    <w:rsid w:val="000C2B7F"/>
    <w:rsid w:val="000C37BE"/>
    <w:rsid w:val="000C4C50"/>
    <w:rsid w:val="000D0130"/>
    <w:rsid w:val="000D2EEE"/>
    <w:rsid w:val="000D2F19"/>
    <w:rsid w:val="000E0CEA"/>
    <w:rsid w:val="000F3CBF"/>
    <w:rsid w:val="000F3F42"/>
    <w:rsid w:val="000F473D"/>
    <w:rsid w:val="001017F3"/>
    <w:rsid w:val="0011297B"/>
    <w:rsid w:val="00123768"/>
    <w:rsid w:val="00126B08"/>
    <w:rsid w:val="001272E5"/>
    <w:rsid w:val="00127D01"/>
    <w:rsid w:val="00130F5F"/>
    <w:rsid w:val="001374F5"/>
    <w:rsid w:val="00152FDC"/>
    <w:rsid w:val="001561FD"/>
    <w:rsid w:val="0015647B"/>
    <w:rsid w:val="00156619"/>
    <w:rsid w:val="00156C8B"/>
    <w:rsid w:val="00160A8C"/>
    <w:rsid w:val="001700B4"/>
    <w:rsid w:val="00171070"/>
    <w:rsid w:val="001A416A"/>
    <w:rsid w:val="001A6118"/>
    <w:rsid w:val="001B0364"/>
    <w:rsid w:val="001B0B8E"/>
    <w:rsid w:val="001B342F"/>
    <w:rsid w:val="001C1259"/>
    <w:rsid w:val="001D1DA7"/>
    <w:rsid w:val="001E17E4"/>
    <w:rsid w:val="001E2410"/>
    <w:rsid w:val="001E347C"/>
    <w:rsid w:val="001E6110"/>
    <w:rsid w:val="001F3C4D"/>
    <w:rsid w:val="002033EA"/>
    <w:rsid w:val="00214046"/>
    <w:rsid w:val="0022561F"/>
    <w:rsid w:val="00232DBE"/>
    <w:rsid w:val="002355E7"/>
    <w:rsid w:val="00235F73"/>
    <w:rsid w:val="0023681E"/>
    <w:rsid w:val="00241FEC"/>
    <w:rsid w:val="00243562"/>
    <w:rsid w:val="0025164A"/>
    <w:rsid w:val="00265C3D"/>
    <w:rsid w:val="00266C2E"/>
    <w:rsid w:val="00270DF8"/>
    <w:rsid w:val="002754B3"/>
    <w:rsid w:val="0028392B"/>
    <w:rsid w:val="002934F2"/>
    <w:rsid w:val="002A3A19"/>
    <w:rsid w:val="002A3ED4"/>
    <w:rsid w:val="002A7274"/>
    <w:rsid w:val="002B2833"/>
    <w:rsid w:val="002B7BA1"/>
    <w:rsid w:val="002C01BB"/>
    <w:rsid w:val="002C3FA4"/>
    <w:rsid w:val="002E2161"/>
    <w:rsid w:val="002E30F2"/>
    <w:rsid w:val="002E4E72"/>
    <w:rsid w:val="002F0CE0"/>
    <w:rsid w:val="002F4ED9"/>
    <w:rsid w:val="002F75FE"/>
    <w:rsid w:val="002F7FA5"/>
    <w:rsid w:val="003017F4"/>
    <w:rsid w:val="00301AAB"/>
    <w:rsid w:val="00306B68"/>
    <w:rsid w:val="003129FE"/>
    <w:rsid w:val="003322AC"/>
    <w:rsid w:val="00335342"/>
    <w:rsid w:val="00343A8E"/>
    <w:rsid w:val="00345713"/>
    <w:rsid w:val="003566B9"/>
    <w:rsid w:val="00356C98"/>
    <w:rsid w:val="0036367B"/>
    <w:rsid w:val="0036496C"/>
    <w:rsid w:val="00365414"/>
    <w:rsid w:val="00372734"/>
    <w:rsid w:val="00372A33"/>
    <w:rsid w:val="0037374A"/>
    <w:rsid w:val="00377A88"/>
    <w:rsid w:val="00392E2B"/>
    <w:rsid w:val="003A396F"/>
    <w:rsid w:val="003A68FD"/>
    <w:rsid w:val="003A7A18"/>
    <w:rsid w:val="003B3187"/>
    <w:rsid w:val="003B327A"/>
    <w:rsid w:val="003B4612"/>
    <w:rsid w:val="003B76D2"/>
    <w:rsid w:val="003D6D41"/>
    <w:rsid w:val="003E3B0A"/>
    <w:rsid w:val="0040581D"/>
    <w:rsid w:val="00417BF3"/>
    <w:rsid w:val="00425D21"/>
    <w:rsid w:val="00426463"/>
    <w:rsid w:val="00427875"/>
    <w:rsid w:val="004317A0"/>
    <w:rsid w:val="0043556D"/>
    <w:rsid w:val="0043739B"/>
    <w:rsid w:val="00441579"/>
    <w:rsid w:val="004418B5"/>
    <w:rsid w:val="00445789"/>
    <w:rsid w:val="00463FB8"/>
    <w:rsid w:val="00480A2F"/>
    <w:rsid w:val="00480B47"/>
    <w:rsid w:val="00481F19"/>
    <w:rsid w:val="00487BC0"/>
    <w:rsid w:val="00490FF8"/>
    <w:rsid w:val="004A1851"/>
    <w:rsid w:val="004B337A"/>
    <w:rsid w:val="004B5538"/>
    <w:rsid w:val="004C3127"/>
    <w:rsid w:val="004D27C3"/>
    <w:rsid w:val="004D44D2"/>
    <w:rsid w:val="004D491E"/>
    <w:rsid w:val="004E3E51"/>
    <w:rsid w:val="004E625A"/>
    <w:rsid w:val="004F73BD"/>
    <w:rsid w:val="00502474"/>
    <w:rsid w:val="00515110"/>
    <w:rsid w:val="00523062"/>
    <w:rsid w:val="00532434"/>
    <w:rsid w:val="00537019"/>
    <w:rsid w:val="0054271B"/>
    <w:rsid w:val="00545281"/>
    <w:rsid w:val="00551A39"/>
    <w:rsid w:val="00566585"/>
    <w:rsid w:val="00580A2F"/>
    <w:rsid w:val="005A2CB7"/>
    <w:rsid w:val="005B15C7"/>
    <w:rsid w:val="005B51EA"/>
    <w:rsid w:val="005C6B92"/>
    <w:rsid w:val="005F4CC9"/>
    <w:rsid w:val="0060056E"/>
    <w:rsid w:val="006039C9"/>
    <w:rsid w:val="00605602"/>
    <w:rsid w:val="00605D22"/>
    <w:rsid w:val="00620A03"/>
    <w:rsid w:val="00621126"/>
    <w:rsid w:val="0062145A"/>
    <w:rsid w:val="00633C60"/>
    <w:rsid w:val="00645C9F"/>
    <w:rsid w:val="00650775"/>
    <w:rsid w:val="0065388D"/>
    <w:rsid w:val="00655506"/>
    <w:rsid w:val="00674396"/>
    <w:rsid w:val="006849AD"/>
    <w:rsid w:val="006853A7"/>
    <w:rsid w:val="0069507F"/>
    <w:rsid w:val="006955DD"/>
    <w:rsid w:val="00697A98"/>
    <w:rsid w:val="006A0492"/>
    <w:rsid w:val="006A3DED"/>
    <w:rsid w:val="006A6E23"/>
    <w:rsid w:val="006B05FF"/>
    <w:rsid w:val="006C4D2E"/>
    <w:rsid w:val="006D3D60"/>
    <w:rsid w:val="006E1F9C"/>
    <w:rsid w:val="006E4A2C"/>
    <w:rsid w:val="006E721A"/>
    <w:rsid w:val="006F0E11"/>
    <w:rsid w:val="006F40C8"/>
    <w:rsid w:val="00700872"/>
    <w:rsid w:val="00706BB4"/>
    <w:rsid w:val="00714029"/>
    <w:rsid w:val="007203B6"/>
    <w:rsid w:val="007222C1"/>
    <w:rsid w:val="00725205"/>
    <w:rsid w:val="0074091B"/>
    <w:rsid w:val="00740927"/>
    <w:rsid w:val="00744302"/>
    <w:rsid w:val="00747C60"/>
    <w:rsid w:val="007732EA"/>
    <w:rsid w:val="00777EA3"/>
    <w:rsid w:val="007933F9"/>
    <w:rsid w:val="00793C7B"/>
    <w:rsid w:val="007954B6"/>
    <w:rsid w:val="007A5E22"/>
    <w:rsid w:val="007B3768"/>
    <w:rsid w:val="007B5395"/>
    <w:rsid w:val="007C38FB"/>
    <w:rsid w:val="007C6434"/>
    <w:rsid w:val="007D4E4C"/>
    <w:rsid w:val="007D5F13"/>
    <w:rsid w:val="007D69F8"/>
    <w:rsid w:val="007E4819"/>
    <w:rsid w:val="007E4E03"/>
    <w:rsid w:val="007E7289"/>
    <w:rsid w:val="00805F3F"/>
    <w:rsid w:val="00817A5D"/>
    <w:rsid w:val="00821209"/>
    <w:rsid w:val="00821491"/>
    <w:rsid w:val="00831411"/>
    <w:rsid w:val="00842536"/>
    <w:rsid w:val="00843692"/>
    <w:rsid w:val="0085135B"/>
    <w:rsid w:val="0085287C"/>
    <w:rsid w:val="008559B6"/>
    <w:rsid w:val="008559FD"/>
    <w:rsid w:val="00855E65"/>
    <w:rsid w:val="0085612E"/>
    <w:rsid w:val="00880868"/>
    <w:rsid w:val="00880D30"/>
    <w:rsid w:val="008811AD"/>
    <w:rsid w:val="008812FA"/>
    <w:rsid w:val="008B222B"/>
    <w:rsid w:val="008C138F"/>
    <w:rsid w:val="008C204C"/>
    <w:rsid w:val="008C2625"/>
    <w:rsid w:val="008C4FE2"/>
    <w:rsid w:val="008D4D6A"/>
    <w:rsid w:val="008F7014"/>
    <w:rsid w:val="009049E9"/>
    <w:rsid w:val="00907F9B"/>
    <w:rsid w:val="00911503"/>
    <w:rsid w:val="00917C2D"/>
    <w:rsid w:val="009209B6"/>
    <w:rsid w:val="00923CB4"/>
    <w:rsid w:val="009335E0"/>
    <w:rsid w:val="00941732"/>
    <w:rsid w:val="009510F3"/>
    <w:rsid w:val="00954018"/>
    <w:rsid w:val="00955590"/>
    <w:rsid w:val="00970435"/>
    <w:rsid w:val="009704EC"/>
    <w:rsid w:val="00971619"/>
    <w:rsid w:val="00982EAB"/>
    <w:rsid w:val="0098505E"/>
    <w:rsid w:val="00991480"/>
    <w:rsid w:val="009945A7"/>
    <w:rsid w:val="00995E63"/>
    <w:rsid w:val="0099643D"/>
    <w:rsid w:val="009969DC"/>
    <w:rsid w:val="00996BA5"/>
    <w:rsid w:val="009A0F79"/>
    <w:rsid w:val="009A3C75"/>
    <w:rsid w:val="009B03F2"/>
    <w:rsid w:val="009C4EE2"/>
    <w:rsid w:val="009D46B1"/>
    <w:rsid w:val="009E7F6E"/>
    <w:rsid w:val="009F2B6A"/>
    <w:rsid w:val="009F5541"/>
    <w:rsid w:val="00A01204"/>
    <w:rsid w:val="00A022BA"/>
    <w:rsid w:val="00A256AC"/>
    <w:rsid w:val="00A32BE3"/>
    <w:rsid w:val="00A4207A"/>
    <w:rsid w:val="00A5653E"/>
    <w:rsid w:val="00A63533"/>
    <w:rsid w:val="00A723C4"/>
    <w:rsid w:val="00A72D2B"/>
    <w:rsid w:val="00A820E9"/>
    <w:rsid w:val="00A82942"/>
    <w:rsid w:val="00A83E24"/>
    <w:rsid w:val="00AA20F8"/>
    <w:rsid w:val="00AA327B"/>
    <w:rsid w:val="00AA55AF"/>
    <w:rsid w:val="00AB19A5"/>
    <w:rsid w:val="00AC2FD6"/>
    <w:rsid w:val="00AC78FC"/>
    <w:rsid w:val="00AD4CFE"/>
    <w:rsid w:val="00AE79BA"/>
    <w:rsid w:val="00AF350E"/>
    <w:rsid w:val="00AF3D8F"/>
    <w:rsid w:val="00AF5273"/>
    <w:rsid w:val="00AF5D3D"/>
    <w:rsid w:val="00B0671C"/>
    <w:rsid w:val="00B13495"/>
    <w:rsid w:val="00B262DD"/>
    <w:rsid w:val="00B278DE"/>
    <w:rsid w:val="00B30287"/>
    <w:rsid w:val="00B30EBD"/>
    <w:rsid w:val="00B351C3"/>
    <w:rsid w:val="00B36AC9"/>
    <w:rsid w:val="00B36E7A"/>
    <w:rsid w:val="00B542CD"/>
    <w:rsid w:val="00B6465B"/>
    <w:rsid w:val="00B772D7"/>
    <w:rsid w:val="00B85451"/>
    <w:rsid w:val="00B86006"/>
    <w:rsid w:val="00B86D86"/>
    <w:rsid w:val="00BA2A96"/>
    <w:rsid w:val="00BA5FE5"/>
    <w:rsid w:val="00BC1FD9"/>
    <w:rsid w:val="00BC30FF"/>
    <w:rsid w:val="00BC500D"/>
    <w:rsid w:val="00BD7FD7"/>
    <w:rsid w:val="00BF1606"/>
    <w:rsid w:val="00BF1647"/>
    <w:rsid w:val="00BF5A25"/>
    <w:rsid w:val="00C06428"/>
    <w:rsid w:val="00C11347"/>
    <w:rsid w:val="00C35018"/>
    <w:rsid w:val="00C40A34"/>
    <w:rsid w:val="00C4484E"/>
    <w:rsid w:val="00C46F7C"/>
    <w:rsid w:val="00C519B5"/>
    <w:rsid w:val="00C55EDB"/>
    <w:rsid w:val="00C573E9"/>
    <w:rsid w:val="00C729DA"/>
    <w:rsid w:val="00C764B7"/>
    <w:rsid w:val="00C90B56"/>
    <w:rsid w:val="00CA3F25"/>
    <w:rsid w:val="00CB5B9D"/>
    <w:rsid w:val="00CB6428"/>
    <w:rsid w:val="00CC01A5"/>
    <w:rsid w:val="00CC2134"/>
    <w:rsid w:val="00CD255A"/>
    <w:rsid w:val="00D126EC"/>
    <w:rsid w:val="00D14955"/>
    <w:rsid w:val="00D24CD6"/>
    <w:rsid w:val="00D24FA6"/>
    <w:rsid w:val="00D544D2"/>
    <w:rsid w:val="00D660F8"/>
    <w:rsid w:val="00D744C5"/>
    <w:rsid w:val="00D827AF"/>
    <w:rsid w:val="00D8451F"/>
    <w:rsid w:val="00D8474D"/>
    <w:rsid w:val="00D84D5B"/>
    <w:rsid w:val="00D86771"/>
    <w:rsid w:val="00D90C73"/>
    <w:rsid w:val="00D90F17"/>
    <w:rsid w:val="00D9480E"/>
    <w:rsid w:val="00D94FFD"/>
    <w:rsid w:val="00DA7038"/>
    <w:rsid w:val="00DB4AF2"/>
    <w:rsid w:val="00DB572A"/>
    <w:rsid w:val="00DC14B3"/>
    <w:rsid w:val="00DC399C"/>
    <w:rsid w:val="00DC7D6D"/>
    <w:rsid w:val="00DD2999"/>
    <w:rsid w:val="00DD2B43"/>
    <w:rsid w:val="00DD2CF8"/>
    <w:rsid w:val="00DD5C58"/>
    <w:rsid w:val="00DE240B"/>
    <w:rsid w:val="00DE529C"/>
    <w:rsid w:val="00DE6D9E"/>
    <w:rsid w:val="00DF3482"/>
    <w:rsid w:val="00DF450F"/>
    <w:rsid w:val="00E04A58"/>
    <w:rsid w:val="00E07425"/>
    <w:rsid w:val="00E07A05"/>
    <w:rsid w:val="00E16025"/>
    <w:rsid w:val="00E167FD"/>
    <w:rsid w:val="00E16F50"/>
    <w:rsid w:val="00E24179"/>
    <w:rsid w:val="00E31783"/>
    <w:rsid w:val="00E36636"/>
    <w:rsid w:val="00E43A34"/>
    <w:rsid w:val="00E44D37"/>
    <w:rsid w:val="00E52850"/>
    <w:rsid w:val="00E609A5"/>
    <w:rsid w:val="00E61928"/>
    <w:rsid w:val="00E656D2"/>
    <w:rsid w:val="00E7276C"/>
    <w:rsid w:val="00E84382"/>
    <w:rsid w:val="00E9180B"/>
    <w:rsid w:val="00EA0646"/>
    <w:rsid w:val="00EA2BA4"/>
    <w:rsid w:val="00EA3103"/>
    <w:rsid w:val="00EB15C1"/>
    <w:rsid w:val="00EC325A"/>
    <w:rsid w:val="00EC3A8E"/>
    <w:rsid w:val="00EC57F0"/>
    <w:rsid w:val="00ED68AF"/>
    <w:rsid w:val="00EF2E7C"/>
    <w:rsid w:val="00F01A6E"/>
    <w:rsid w:val="00F11811"/>
    <w:rsid w:val="00F20178"/>
    <w:rsid w:val="00F23C6C"/>
    <w:rsid w:val="00F24BC8"/>
    <w:rsid w:val="00F25045"/>
    <w:rsid w:val="00F30F3E"/>
    <w:rsid w:val="00F32002"/>
    <w:rsid w:val="00F4605D"/>
    <w:rsid w:val="00F51EF5"/>
    <w:rsid w:val="00F74928"/>
    <w:rsid w:val="00F8197E"/>
    <w:rsid w:val="00F833B1"/>
    <w:rsid w:val="00F87D90"/>
    <w:rsid w:val="00F90495"/>
    <w:rsid w:val="00FA4179"/>
    <w:rsid w:val="00FB4362"/>
    <w:rsid w:val="00FB53A1"/>
    <w:rsid w:val="00FD30CF"/>
    <w:rsid w:val="00FE0E46"/>
    <w:rsid w:val="00FF0AEC"/>
    <w:rsid w:val="00FF1DF4"/>
    <w:rsid w:val="00FF4165"/>
    <w:rsid w:val="02E03DF9"/>
    <w:rsid w:val="097F1A8E"/>
    <w:rsid w:val="0EF56007"/>
    <w:rsid w:val="113741D2"/>
    <w:rsid w:val="12CD4665"/>
    <w:rsid w:val="17182642"/>
    <w:rsid w:val="18330BA7"/>
    <w:rsid w:val="1CC367F0"/>
    <w:rsid w:val="1D34261E"/>
    <w:rsid w:val="1E5D1F46"/>
    <w:rsid w:val="1FAD4807"/>
    <w:rsid w:val="212154AC"/>
    <w:rsid w:val="22D32C87"/>
    <w:rsid w:val="243A0633"/>
    <w:rsid w:val="2503311B"/>
    <w:rsid w:val="258B15F1"/>
    <w:rsid w:val="28983B19"/>
    <w:rsid w:val="306E1D90"/>
    <w:rsid w:val="31097D0B"/>
    <w:rsid w:val="31E87920"/>
    <w:rsid w:val="36BD660E"/>
    <w:rsid w:val="371F7479"/>
    <w:rsid w:val="392C0CFF"/>
    <w:rsid w:val="3A4122C4"/>
    <w:rsid w:val="42A05423"/>
    <w:rsid w:val="4C433C79"/>
    <w:rsid w:val="4F3B1580"/>
    <w:rsid w:val="50312CDD"/>
    <w:rsid w:val="527E074E"/>
    <w:rsid w:val="56393C72"/>
    <w:rsid w:val="579503FF"/>
    <w:rsid w:val="589049A4"/>
    <w:rsid w:val="59E24AD2"/>
    <w:rsid w:val="60535296"/>
    <w:rsid w:val="624C6651"/>
    <w:rsid w:val="675608AD"/>
    <w:rsid w:val="68992B2A"/>
    <w:rsid w:val="69C001CA"/>
    <w:rsid w:val="6C1528C4"/>
    <w:rsid w:val="6CBF5C16"/>
    <w:rsid w:val="6DA31A29"/>
    <w:rsid w:val="6F563B40"/>
    <w:rsid w:val="71D068B3"/>
    <w:rsid w:val="72944988"/>
    <w:rsid w:val="72FD2525"/>
    <w:rsid w:val="78106856"/>
    <w:rsid w:val="7F6A11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qFormat="1" w:unhideWhenUsed="0" w:uiPriority="0" w:semiHidden="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6"/>
    <w:qFormat/>
    <w:uiPriority w:val="0"/>
    <w:pPr>
      <w:keepNext/>
      <w:keepLines/>
      <w:spacing w:before="340" w:after="330" w:line="578" w:lineRule="auto"/>
      <w:outlineLvl w:val="0"/>
    </w:pPr>
    <w:rPr>
      <w:rFonts w:ascii="Times New Roman" w:hAnsi="Times New Roman"/>
      <w:b/>
      <w:bCs/>
      <w:kern w:val="44"/>
      <w:sz w:val="44"/>
      <w:szCs w:val="44"/>
    </w:rPr>
  </w:style>
  <w:style w:type="character" w:default="1" w:styleId="9">
    <w:name w:val="Default Paragraph Font"/>
    <w:autoRedefine/>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autoRedefine/>
    <w:qFormat/>
    <w:uiPriority w:val="0"/>
    <w:pPr>
      <w:jc w:val="left"/>
    </w:pPr>
  </w:style>
  <w:style w:type="paragraph" w:styleId="4">
    <w:name w:val="Balloon Text"/>
    <w:basedOn w:val="1"/>
    <w:link w:val="15"/>
    <w:qFormat/>
    <w:uiPriority w:val="0"/>
    <w:rPr>
      <w:sz w:val="18"/>
      <w:szCs w:val="18"/>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9"/>
    <w:autoRedefine/>
    <w:qFormat/>
    <w:uiPriority w:val="0"/>
    <w:rPr>
      <w:b/>
      <w:bCs/>
    </w:rPr>
  </w:style>
  <w:style w:type="character" w:styleId="10">
    <w:name w:val="line number"/>
    <w:autoRedefine/>
    <w:qFormat/>
    <w:uiPriority w:val="0"/>
  </w:style>
  <w:style w:type="character" w:styleId="11">
    <w:name w:val="annotation reference"/>
    <w:autoRedefine/>
    <w:qFormat/>
    <w:uiPriority w:val="0"/>
    <w:rPr>
      <w:sz w:val="21"/>
      <w:szCs w:val="21"/>
    </w:rPr>
  </w:style>
  <w:style w:type="character" w:customStyle="1" w:styleId="12">
    <w:name w:val="页脚 Char"/>
    <w:link w:val="5"/>
    <w:qFormat/>
    <w:uiPriority w:val="0"/>
    <w:rPr>
      <w:sz w:val="18"/>
      <w:szCs w:val="18"/>
    </w:rPr>
  </w:style>
  <w:style w:type="character" w:customStyle="1" w:styleId="13">
    <w:name w:val="页眉 Char"/>
    <w:link w:val="6"/>
    <w:autoRedefine/>
    <w:qFormat/>
    <w:uiPriority w:val="0"/>
    <w:rPr>
      <w:sz w:val="18"/>
      <w:szCs w:val="18"/>
    </w:rPr>
  </w:style>
  <w:style w:type="paragraph" w:styleId="14">
    <w:name w:val="List Paragraph"/>
    <w:basedOn w:val="1"/>
    <w:qFormat/>
    <w:uiPriority w:val="0"/>
    <w:pPr>
      <w:ind w:firstLine="420" w:firstLineChars="200"/>
    </w:pPr>
  </w:style>
  <w:style w:type="character" w:customStyle="1" w:styleId="15">
    <w:name w:val="批注框文本 Char"/>
    <w:link w:val="4"/>
    <w:qFormat/>
    <w:uiPriority w:val="0"/>
    <w:rPr>
      <w:kern w:val="2"/>
      <w:sz w:val="18"/>
      <w:szCs w:val="18"/>
    </w:rPr>
  </w:style>
  <w:style w:type="character" w:customStyle="1" w:styleId="16">
    <w:name w:val="标题 1 Char"/>
    <w:link w:val="2"/>
    <w:autoRedefine/>
    <w:qFormat/>
    <w:uiPriority w:val="0"/>
    <w:rPr>
      <w:rFonts w:ascii="Times New Roman" w:hAnsi="Times New Roman"/>
      <w:b/>
      <w:bCs/>
      <w:kern w:val="44"/>
      <w:sz w:val="44"/>
      <w:szCs w:val="44"/>
    </w:rPr>
  </w:style>
  <w:style w:type="paragraph" w:customStyle="1" w:styleId="17">
    <w:name w:val="TOC Heading"/>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character" w:customStyle="1" w:styleId="18">
    <w:name w:val="批注文字 Char"/>
    <w:link w:val="3"/>
    <w:qFormat/>
    <w:uiPriority w:val="0"/>
    <w:rPr>
      <w:kern w:val="2"/>
      <w:sz w:val="21"/>
      <w:szCs w:val="22"/>
    </w:rPr>
  </w:style>
  <w:style w:type="character" w:customStyle="1" w:styleId="19">
    <w:name w:val="批注主题 Char"/>
    <w:link w:val="7"/>
    <w:qFormat/>
    <w:uiPriority w:val="0"/>
    <w:rPr>
      <w:b/>
      <w:bCs/>
      <w:kern w:val="2"/>
      <w:sz w:val="21"/>
      <w:szCs w:val="22"/>
    </w:rPr>
  </w:style>
  <w:style w:type="character" w:customStyle="1" w:styleId="20">
    <w:name w:val="fontstyle01"/>
    <w:autoRedefine/>
    <w:qFormat/>
    <w:uiPriority w:val="0"/>
    <w:rPr>
      <w:rFonts w:hint="eastAsia" w:ascii="仿宋_GB2312" w:eastAsia="仿宋_GB2312"/>
      <w:color w:val="000000"/>
      <w:sz w:val="32"/>
      <w:szCs w:val="32"/>
    </w:rPr>
  </w:style>
  <w:style w:type="character" w:customStyle="1" w:styleId="21">
    <w:name w:val="fontstyle21"/>
    <w:autoRedefine/>
    <w:qFormat/>
    <w:uiPriority w:val="0"/>
    <w:rPr>
      <w:rFonts w:hint="default" w:ascii="TimesNewRomanPSMT" w:hAnsi="TimesNewRomanPSMT"/>
      <w:color w:val="000000"/>
      <w:sz w:val="32"/>
      <w:szCs w:val="32"/>
    </w:rPr>
  </w:style>
  <w:style w:type="character" w:customStyle="1" w:styleId="22">
    <w:name w:val="fontstyle11"/>
    <w:autoRedefine/>
    <w:qFormat/>
    <w:uiPriority w:val="0"/>
    <w:rPr>
      <w:rFonts w:hint="eastAsia" w:ascii="仿宋_GB2312" w:eastAsia="仿宋_GB2312"/>
      <w:color w:val="000000"/>
      <w:sz w:val="32"/>
      <w:szCs w:val="32"/>
    </w:rPr>
  </w:style>
  <w:style w:type="character" w:customStyle="1" w:styleId="23">
    <w:name w:val="fontstyle31"/>
    <w:autoRedefine/>
    <w:qFormat/>
    <w:uiPriority w:val="0"/>
    <w:rPr>
      <w:rFonts w:hint="default" w:ascii="TimesNewRomanPSMT" w:hAnsi="TimesNewRomanPSMT"/>
      <w:color w:val="00000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beijing</Company>
  <Pages>14</Pages>
  <Words>6380</Words>
  <Characters>6829</Characters>
  <Lines>68</Lines>
  <Paragraphs>19</Paragraphs>
  <TotalTime>3</TotalTime>
  <ScaleCrop>false</ScaleCrop>
  <LinksUpToDate>false</LinksUpToDate>
  <CharactersWithSpaces>6889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2024-01-30T09:03:00Z</dcterms:created>
  <dc:creator>home</dc:creator>
  <cp:lastModifiedBy>九月จุ๊บ</cp:lastModifiedBy>
  <cp:lastPrinted>2022-02-15T07:45:00Z</cp:lastPrinted>
  <dcterms:modified xsi:type="dcterms:W3CDTF">2025-02-11T07:15:01Z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B9E40EB8833B42A6AFB58CCE91C7BDFF_13</vt:lpwstr>
  </property>
  <property fmtid="{D5CDD505-2E9C-101B-9397-08002B2CF9AE}" pid="4" name="KSOTemplateDocerSaveRecord">
    <vt:lpwstr>eyJoZGlkIjoiM2M2N2I5NWZiM2I4ODFjNTNkZDBlMTAyNmFkMGU5NGMiLCJ1c2VySWQiOiI5OTc1MzM5NjkifQ==</vt:lpwstr>
  </property>
</Properties>
</file>