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058C3C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华池县怀安乡怀安小学                 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77E243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179AB51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怀安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小学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从事教育事业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等工作的职能部门。主要职责是: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普及九年义务教育，培养合格人才为主要职能，从事教育教学事务活动。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68E735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怀安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小学内设3个职能股室,包括:办公室、教务处、政教处。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325.56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325.56万元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231.78万元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社会保险基金支出50.28、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18.26万元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22.24万元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325.56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325.56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325.56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325.56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2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325.56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231.78万元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社会保险基金支出50.28、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18.26万元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22.24万元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325.56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减少23.37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减少6.69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年老师数量有所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310.77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87.21万元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113.55万元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19.23万元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30.28万元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15.14万元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12.05万元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6.21万元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4.86万元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22.24万元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11.79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2.22万元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4.63万元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4.94万元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D81AE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" w:eastAsia="仿宋_GB2312"/>
          <w:sz w:val="32"/>
          <w:szCs w:val="32"/>
        </w:rPr>
        <w:t>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231.77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减少22.21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老师数量减少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5759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45.42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减少3.13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老师数量减少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EDC3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18.26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减少1.23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老师数量减少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F6D2B1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4.住房保障支出2025年预算数为22.24万元，比2024年预算数减少1.52万元，</w:t>
      </w:r>
      <w:r>
        <w:rPr>
          <w:rFonts w:hint="eastAsia" w:ascii="仿宋_GB2312" w:hAnsi="仿宋" w:eastAsia="仿宋_GB2312"/>
          <w:sz w:val="32"/>
          <w:szCs w:val="32"/>
        </w:rPr>
        <w:t>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老师数量减少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本单位无“三公”经费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本单位无会议费预算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6BC70D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为事业单位，</w:t>
      </w:r>
      <w:r>
        <w:rPr>
          <w:rFonts w:hint="eastAsia" w:ascii="仿宋_GB2312" w:hAnsi="仿宋" w:eastAsia="仿宋_GB2312"/>
          <w:sz w:val="32"/>
          <w:szCs w:val="32"/>
        </w:rPr>
        <w:t>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D2AA95B">
      <w:pPr>
        <w:widowControl/>
        <w:adjustRightInd w:val="0"/>
        <w:snapToGrid w:val="0"/>
        <w:spacing w:line="640" w:lineRule="exact"/>
        <w:ind w:firstLine="63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上年末固定资产金额为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1083.99万元。其中：房屋价值892.98万元；设备价值155.6万元；图书7.64万元；家具用具27.77万元。预算部门（单位）共有公务用车0辆，价值0万元。2024年拟采购固定资产约0万元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0339EA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034CF0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2个，其中，部门（单位）整体支出0个，项目支出2个，转移支付项目0个，绩效自评覆盖率为100%。绩效自评结果随部门决算报送财政和随决算公开情况：已完成单位整体支出绩效自评并报送财政，拟随决算一并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595ED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2AE600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华池县怀安乡怀安小学</w:t>
      </w:r>
    </w:p>
    <w:p w14:paraId="77E85168">
      <w:pPr>
        <w:bidi w:val="0"/>
      </w:pPr>
      <w:r>
        <w:rPr>
          <w:rFonts w:hint="eastAsia"/>
          <w:lang w:val="en-US" w:eastAsia="zh-CN"/>
        </w:rPr>
        <w:t xml:space="preserve">                                                     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华池县怀安乡怀安小学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华池县怀安乡怀安小学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347268F"/>
    <w:rsid w:val="113741D2"/>
    <w:rsid w:val="18330BA7"/>
    <w:rsid w:val="1D34261E"/>
    <w:rsid w:val="1F6F3F01"/>
    <w:rsid w:val="20565181"/>
    <w:rsid w:val="42A05423"/>
    <w:rsid w:val="4C433C79"/>
    <w:rsid w:val="527E074E"/>
    <w:rsid w:val="56393C72"/>
    <w:rsid w:val="579503FF"/>
    <w:rsid w:val="60535296"/>
    <w:rsid w:val="6ECD79BF"/>
    <w:rsid w:val="72FD2525"/>
    <w:rsid w:val="76F92F4D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3460</Words>
  <Characters>3810</Characters>
  <Lines>68</Lines>
  <Paragraphs>19</Paragraphs>
  <TotalTime>1</TotalTime>
  <ScaleCrop>false</ScaleCrop>
  <LinksUpToDate>false</LinksUpToDate>
  <CharactersWithSpaces>3931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2025-02-11T03:25:25Z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6E37F97358BF44DA8A8F23141D5730D7_13</vt:lpwstr>
  </property>
  <property fmtid="{D5CDD505-2E9C-101B-9397-08002B2CF9AE}" pid="4" name="KSOTemplateDocerSaveRecord">
    <vt:lpwstr>eyJoZGlkIjoiNWYzNzQxZWE2NjNmMmU4MGU2NmI2NDc5MzQ5MTE0Y2EiLCJ1c2VySWQiOiIyODY0MjQ1NDYifQ==</vt:lpwstr>
  </property>
</Properties>
</file>