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85E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456B65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4E0D0A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DDD53B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华池县元城初级中学</w:t>
      </w:r>
    </w:p>
    <w:p w14:paraId="7DA15FB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3161167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2556A3E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8D77DD9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726D252D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3EFEBDC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64A47EC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799A8E6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79EE324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527802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0AD46EB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0ABA2EF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6DC1F8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00A2728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1A5A37A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61A1E74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4B3BD6C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AAC7E4E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2437610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2C30DED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AA7C5E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460049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343B2E9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11EB4BF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5AF0FDE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13A08D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198EDF5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6696016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239F654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86F7E4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718EBA3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18AD7BEF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865C232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27347D8D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224B7182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28C2C39D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EBFA27E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元城初级中学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属全额拨款事业单位，隶属于华池县教育局，主要职责是负责普及本辖区内及周边附近乡村适龄少年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初中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义务教育工作。</w:t>
      </w:r>
    </w:p>
    <w:p w14:paraId="5A4B6D69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3E60711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19537CE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设机构3个处室（教务处、政教处、总务处），教务处主要负责学校全盘教学工作，教学安排、学情检测等；政教处主要负责学校的德育及学生管理工作；总务处主要负责教师学生餐饮、教学后勤保障等工作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 w14:paraId="1D951FBA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303D87F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2013D74A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5DC9A0E4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无</w:t>
      </w:r>
    </w:p>
    <w:p w14:paraId="6A1100CF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5F568EF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584E6A97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491.72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万元。按照综合预算的原则，部门（单位）所有收入和支出均纳入部门预算管理。收入包括：一般公共预算拨款收入；支出包括：教育支出、社会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支出、卫生健康支出、住房保障支出。</w:t>
      </w:r>
    </w:p>
    <w:p w14:paraId="2D91BDCE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4A34AA7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491.72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68773FCD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491.72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3642AD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1BE513A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491.72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491.72</w:t>
      </w:r>
      <w:r>
        <w:rPr>
          <w:rStyle w:val="20"/>
          <w:rFonts w:hint="default" w:hAnsi="仿宋"/>
        </w:rPr>
        <w:t>万元，</w:t>
      </w:r>
      <w:bookmarkStart w:id="0" w:name="_GoBack"/>
      <w:bookmarkEnd w:id="0"/>
      <w:r>
        <w:rPr>
          <w:rStyle w:val="20"/>
          <w:rFonts w:hint="default" w:hAnsi="仿宋"/>
        </w:rPr>
        <w:t>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4AE1796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B12E1C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491.72</w:t>
      </w:r>
      <w:r>
        <w:rPr>
          <w:rStyle w:val="20"/>
          <w:rFonts w:hint="default" w:hAnsi="仿宋"/>
        </w:rPr>
        <w:t>万元，包括：教育支出</w:t>
      </w:r>
      <w:r>
        <w:rPr>
          <w:rStyle w:val="20"/>
          <w:rFonts w:hint="eastAsia" w:hAnsi="仿宋" w:eastAsia="仿宋_GB2312"/>
          <w:lang w:val="en-US" w:eastAsia="zh-CN"/>
        </w:rPr>
        <w:t>358.56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保险基金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74.2</w:t>
      </w:r>
      <w:r>
        <w:rPr>
          <w:rStyle w:val="20"/>
          <w:rFonts w:hint="default" w:hAnsi="仿宋"/>
        </w:rPr>
        <w:t>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24.22</w:t>
      </w:r>
      <w:r>
        <w:rPr>
          <w:rStyle w:val="20"/>
          <w:rFonts w:hint="default" w:hAnsi="仿宋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34.74万元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55B5B9C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03BE7D85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491.72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减少23.86</w:t>
      </w:r>
      <w:r>
        <w:rPr>
          <w:rFonts w:hint="eastAsia" w:ascii="仿宋_GB2312" w:hAnsi="仿宋" w:eastAsia="仿宋_GB2312"/>
          <w:sz w:val="32"/>
          <w:szCs w:val="32"/>
        </w:rPr>
        <w:t>万元，减少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4.63</w:t>
      </w:r>
      <w:r>
        <w:rPr>
          <w:rFonts w:hint="eastAsia" w:ascii="仿宋_GB2312" w:hAnsi="仿宋" w:eastAsia="仿宋_GB2312"/>
          <w:sz w:val="32"/>
          <w:szCs w:val="32"/>
        </w:rPr>
        <w:t>%，减少的主要原因是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在职人员数量减少导致工资福利支出预算减少。</w:t>
      </w:r>
    </w:p>
    <w:p w14:paraId="18F7F28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477.07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万元，主要包括：基本工资、津贴补贴、奖金、绩效工资、机关事业单位基本养老保险缴费、职业年金缴费、职工基本医疗保险缴费、公务员医疗补助缴费、其他社会保障缴费、住房公积金。</w:t>
      </w:r>
    </w:p>
    <w:p w14:paraId="2040E1D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14.65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万元，主要包括：工会经费、福利费、其他商品和服务支出。</w:t>
      </w:r>
    </w:p>
    <w:p w14:paraId="43FC126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15E8E05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8EAFEF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21428E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A3B6CC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1AC5751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457933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1.教育支出（ 类）普通教育（ 款） 初中教育（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358.56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减少20.26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下降5.35%，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在职人员数量减少导致工资福利支出预算减少。</w:t>
      </w:r>
    </w:p>
    <w:p w14:paraId="316FE6F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2.社会保障和就业支出（ 类）行政事业单位养老支出（ 款）机关事业单位基本养老保险缴费支出、机关事业单位职业年金缴费支出（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74.2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减少1.27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万元， 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下降1.68%，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1307EDB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3.卫生健康支出（ 类）行政事业单位医疗（ 款）事业单位医疗（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24.22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减少0.99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下降3.93%，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786FF43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TimesNewRomanPS-BoldM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（ 类）住房改革支出（ 款）住房公积金（ 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34.74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 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减少1.34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下降3.71%，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 xml:space="preserve"> 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7B1C3FA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34C7CF5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737D24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“三公”经费预算。</w:t>
      </w:r>
    </w:p>
    <w:p w14:paraId="3EB0358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55A8424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本单位无培训费预算。</w:t>
      </w:r>
    </w:p>
    <w:p w14:paraId="004F8A0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7979FF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本单位无会议费预算。</w:t>
      </w:r>
    </w:p>
    <w:p w14:paraId="7676E66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362CB39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 w14:paraId="17B342F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731565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万元，政府采购工程预算0万元，政府采购服务预算0万元。</w:t>
      </w:r>
    </w:p>
    <w:p w14:paraId="0150912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0 万元，小微企业预留政府采购项目预算金额0万元。</w:t>
      </w:r>
    </w:p>
    <w:p w14:paraId="7C49E8C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689CB4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1391.53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7654.91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1113.13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万元。预算部门（单位）共有公务用车0辆，价值0万元。单价20万元以上的设备价值0万元。2024年拟采购固定资产约0万元。</w:t>
      </w:r>
    </w:p>
    <w:p w14:paraId="6C1BEE6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65FF9C9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FFDECD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40A14B8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696363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DCB4E0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8B1E87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4896AE5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616E02D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未安排预算，位管理转移支付表为空表。</w:t>
      </w:r>
    </w:p>
    <w:p w14:paraId="5781DE3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7479C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549D531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0048AF6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28BFA25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2F57EE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EFE4BA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B4B890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46CA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07FCA3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7E8D1B3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585A7F3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5E128F3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6922139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6E8688D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5046F4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13967FA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1EE5A1C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034A80F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3EB30ED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6EA1FD1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78511A0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华池县元城初级中学</w:t>
      </w:r>
    </w:p>
    <w:p w14:paraId="7231DDEA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02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31B3F0D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4649C0AD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华池县元城初级中学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1B2A490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华池县元城初级中学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02BED315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D2CE4">
    <w:pPr>
      <w:pStyle w:val="5"/>
      <w:jc w:val="center"/>
    </w:pPr>
  </w:p>
  <w:p w14:paraId="5F30917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94684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4E6E13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DZjODc3MGE3NmFjMjM1YjRhNWYzMWJlNzI1ZTc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C374E4C"/>
    <w:rsid w:val="1D34261E"/>
    <w:rsid w:val="2296293D"/>
    <w:rsid w:val="28A64452"/>
    <w:rsid w:val="292C5E45"/>
    <w:rsid w:val="3CC94AA6"/>
    <w:rsid w:val="42A05423"/>
    <w:rsid w:val="48D91C97"/>
    <w:rsid w:val="4C433C79"/>
    <w:rsid w:val="527E074E"/>
    <w:rsid w:val="56393C72"/>
    <w:rsid w:val="579503FF"/>
    <w:rsid w:val="60535296"/>
    <w:rsid w:val="62F07D70"/>
    <w:rsid w:val="696806BC"/>
    <w:rsid w:val="6F2302F4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3486</Words>
  <Characters>3768</Characters>
  <Lines>68</Lines>
  <Paragraphs>19</Paragraphs>
  <TotalTime>12</TotalTime>
  <ScaleCrop>false</ScaleCrop>
  <LinksUpToDate>false</LinksUpToDate>
  <CharactersWithSpaces>3812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溪浣紫</cp:lastModifiedBy>
  <cp:lastPrinted>2025-02-10T08:50:00Z</cp:lastPrinted>
  <dcterms:modified xsi:type="dcterms:W3CDTF">2025-02-11T04:30:06Z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1C0E2AC39E414EA189F91086F3B58BDF_13</vt:lpwstr>
  </property>
  <property fmtid="{D5CDD505-2E9C-101B-9397-08002B2CF9AE}" pid="4" name="KSOTemplateDocerSaveRecord">
    <vt:lpwstr>eyJoZGlkIjoiZGFhN2M1ZDU1YWQ3OTc3NGQwYjQwOGE5YWU0MTBkMzAiLCJ1c2VySWQiOiI2NTExOTcxMDMifQ==</vt:lpwstr>
  </property>
</Properties>
</file>