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EF3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C84410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CBD749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371F3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华池县白马九年制学校</w:t>
      </w:r>
    </w:p>
    <w:p w14:paraId="652474E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53B4EB6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AC3E76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1632EAD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7101ECD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59BF780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5E05C7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0889699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28C902F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7FD627D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62D02DE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60C896B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DE0CFD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0B0DC7E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E3189D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5151E6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0771C09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07BC371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0DD3A94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6F586E2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BE4DD7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178D4AB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29A312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76875BD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5557CA2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2C03A9A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1B3C38D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365790A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0D9C16D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2FE1A0A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732BBB8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4B6C1AF8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C18901F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30C4592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777CCDD4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700878B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2F2C516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白马九年制学校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属全额拨款事业单位，隶属于华池县教育局，主要职责是负责普及本辖区内及周边附近乡村适龄少年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初中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义务教育工作。</w:t>
      </w:r>
    </w:p>
    <w:p w14:paraId="7B53ECC0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67A009F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349815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设机构3个处室（教务处、政教处、总务处），教务处主要负责学校全盘教学工作，教学安排、学情检测等；政教处主要负责学校的德育及学生管理工作；总务处主要负责教师学生餐饮、教学后勤保障等工作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72B498A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6312C65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1112DC7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3AD89A7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1D091D0B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093098C3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6A57463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439.65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322.52万元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65.24万元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21.38万元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30.5万元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66956CA9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3806744A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439.65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6305C57F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439.65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29FBF9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5644DBC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439.65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439.65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2F2B73C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4E02947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439.65</w:t>
      </w:r>
      <w:r>
        <w:rPr>
          <w:rStyle w:val="20"/>
          <w:rFonts w:hint="default" w:hAnsi="仿宋"/>
        </w:rPr>
        <w:t>万元，包括：教育支出</w:t>
      </w:r>
      <w:r>
        <w:rPr>
          <w:rStyle w:val="20"/>
          <w:rFonts w:hint="eastAsia" w:hAnsi="仿宋" w:eastAsia="仿宋_GB2312"/>
          <w:lang w:val="en-US" w:eastAsia="zh-CN"/>
        </w:rPr>
        <w:t>426.97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65.24</w:t>
      </w:r>
      <w:r>
        <w:rPr>
          <w:rStyle w:val="20"/>
          <w:rFonts w:hint="default" w:hAnsi="仿宋"/>
        </w:rPr>
        <w:t>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21.38</w:t>
      </w:r>
      <w:r>
        <w:rPr>
          <w:rStyle w:val="20"/>
          <w:rFonts w:hint="default" w:hAnsi="仿宋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30.5万元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20A7883A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4B4319F4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439.65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4.3</w:t>
      </w:r>
      <w:r>
        <w:rPr>
          <w:rFonts w:hint="eastAsia" w:ascii="仿宋_GB2312" w:hAnsi="仿宋" w:eastAsia="仿宋_GB2312"/>
          <w:sz w:val="32"/>
          <w:szCs w:val="32"/>
        </w:rPr>
        <w:t>%，的主要原因是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396429B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426.97</w:t>
      </w:r>
      <w:r>
        <w:rPr>
          <w:rFonts w:hint="eastAsia" w:ascii="仿宋_GB2312" w:hAnsi="仿宋" w:eastAsia="仿宋_GB2312"/>
          <w:sz w:val="32"/>
          <w:szCs w:val="32"/>
        </w:rPr>
        <w:t>万元，主要包括：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基本工资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116.12万元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、津贴补贴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159.22万元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、奖金、绩效工资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30.68万元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41.59万元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20.79万元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16.52万元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4.86万元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6.67万元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30.5万元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4D28F84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12.68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3.05万元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、福利费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6.35万元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3.28万元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32EA9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（二）项目支出</w:t>
      </w:r>
    </w:p>
    <w:p w14:paraId="28E85D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C07004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4C55BE1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BF54F8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1546D02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D96F4B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auto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1.教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育支出（ 类）普通教育（ 款） 初中教育（ 项）202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322.52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增加19.21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增长5.48%，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工资普调导致工资福利预算增大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。</w:t>
      </w:r>
    </w:p>
    <w:p w14:paraId="7FDF9B0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2.社会保障和就业支出（ 类）行政事业单位养老支出（ 款）机关事业单位基本养老保险缴费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支出、机关事业单位职业年金缴费支出（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年预算数为65.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4万元，比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减少4.81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万元， 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下降6.8%，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1CEE76F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3.卫生健康支出（ 类）行政事业单位医疗（ 款）事业单位医疗（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21.38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减少2.12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下降9.04%，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4095E0F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TimesNewRomanPS-BoldM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（ 类）住房改革支出（ 款）住房公积金（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33.83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减少2.93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下降8.66%，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6832A44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609436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28188D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“三公”经费预算。</w:t>
      </w:r>
    </w:p>
    <w:p w14:paraId="3C49978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89323E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 w14:paraId="6DA6451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7EB9F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本单位无会议费预算。</w:t>
      </w:r>
    </w:p>
    <w:p w14:paraId="017ECA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723FA57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01A9F73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D2B816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万元，政府采购工程预算0万元，政府采购服务预算0万元。</w:t>
      </w:r>
    </w:p>
    <w:p w14:paraId="43D4B10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2024年，部门（单位）面向中小企业预留政府采购项目预算金额 0 万元，小微企业预留政府采购项目预算金额0万元。</w:t>
      </w:r>
    </w:p>
    <w:p w14:paraId="11800B8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20FEE41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926.6801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4903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708.4709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万元。预算部门（单位）共有公务用车0辆，价值0万元。单价20万元以上的设备价值0万元。2024年拟采购固定资产约0万元。</w:t>
      </w:r>
    </w:p>
    <w:p w14:paraId="052A0EF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34BE5F3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C9710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6240DEE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66C6E32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793C4B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32743CF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70141E1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2AEFB24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未安排预算，位管理转移支付表为空表。</w:t>
      </w:r>
    </w:p>
    <w:p w14:paraId="2454630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5E5415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5820E97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2072E7E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739FCB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3BBFA73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79110EC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F22C5F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D5274DA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251292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167FFB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2B2E568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258F6CB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14A8B2F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572DBA3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36B2381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54132F7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038C7C2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6A619C0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6DFE635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FC76761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7E985A2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华池县白马九年制学校</w:t>
      </w:r>
    </w:p>
    <w:p w14:paraId="17F86227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5DD55840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A91BE3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华池县白马九年制学校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3C02DA7D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华池县白马九年制学校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415A5E82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BF7C">
    <w:pPr>
      <w:pStyle w:val="5"/>
      <w:jc w:val="center"/>
    </w:pPr>
  </w:p>
  <w:p w14:paraId="6705D75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A0ED4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47F56B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ZjODc3MGE3NmFjMjM1YjRhNWYzMWJlNzI1ZTc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E8B6318"/>
    <w:rsid w:val="0F360E40"/>
    <w:rsid w:val="113741D2"/>
    <w:rsid w:val="18330BA7"/>
    <w:rsid w:val="1D34261E"/>
    <w:rsid w:val="1D4E37F9"/>
    <w:rsid w:val="1E9D67E6"/>
    <w:rsid w:val="21983295"/>
    <w:rsid w:val="2214158D"/>
    <w:rsid w:val="230C3F3A"/>
    <w:rsid w:val="276613E9"/>
    <w:rsid w:val="292C5E45"/>
    <w:rsid w:val="31A43590"/>
    <w:rsid w:val="341E7629"/>
    <w:rsid w:val="36526FEA"/>
    <w:rsid w:val="3AAC1E33"/>
    <w:rsid w:val="3CC94AA6"/>
    <w:rsid w:val="3E502AD5"/>
    <w:rsid w:val="41C6187B"/>
    <w:rsid w:val="426F760D"/>
    <w:rsid w:val="42A05423"/>
    <w:rsid w:val="4B213C2E"/>
    <w:rsid w:val="4C433C79"/>
    <w:rsid w:val="50CF1F80"/>
    <w:rsid w:val="527E074E"/>
    <w:rsid w:val="52A6597E"/>
    <w:rsid w:val="56393C72"/>
    <w:rsid w:val="579503FF"/>
    <w:rsid w:val="5BFD61AD"/>
    <w:rsid w:val="60535296"/>
    <w:rsid w:val="61DC274E"/>
    <w:rsid w:val="61EA10F7"/>
    <w:rsid w:val="696806BC"/>
    <w:rsid w:val="72AC7F1B"/>
    <w:rsid w:val="72FD2525"/>
    <w:rsid w:val="74035919"/>
    <w:rsid w:val="76EF1997"/>
    <w:rsid w:val="78106856"/>
    <w:rsid w:val="7B8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3471</Words>
  <Characters>3767</Characters>
  <Lines>68</Lines>
  <Paragraphs>19</Paragraphs>
  <TotalTime>8</TotalTime>
  <ScaleCrop>false</ScaleCrop>
  <LinksUpToDate>false</LinksUpToDate>
  <CharactersWithSpaces>3811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石头</cp:lastModifiedBy>
  <cp:lastPrinted>2025-02-11T01:51:00Z</cp:lastPrinted>
  <dcterms:modified xsi:type="dcterms:W3CDTF">2025-02-11T04:59:21Z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BFF1DD3F354C4C9E88A4BC032A7BECE2_13</vt:lpwstr>
  </property>
  <property fmtid="{D5CDD505-2E9C-101B-9397-08002B2CF9AE}" pid="4" name="KSOTemplateDocerSaveRecord">
    <vt:lpwstr>eyJoZGlkIjoiMmVkYWRjYmI3Mjk0NzgzNWIyOTUzODM1MmVmYmQwZTEiLCJ1c2VySWQiOiIyMzgwNjE0NzQifQ==</vt:lpwstr>
  </property>
</Properties>
</file>