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B6B5">
      <w:pPr>
        <w:spacing w:line="660" w:lineRule="exact"/>
        <w:jc w:val="center"/>
        <w:rPr>
          <w:rFonts w:ascii="宋体" w:hAnsi="宋体" w:cs="宋体"/>
          <w:b/>
          <w:bCs/>
          <w:kern w:val="0"/>
          <w:sz w:val="44"/>
          <w:szCs w:val="44"/>
        </w:rPr>
      </w:pPr>
    </w:p>
    <w:p w14:paraId="0065D364">
      <w:pPr>
        <w:spacing w:line="660" w:lineRule="exact"/>
        <w:jc w:val="center"/>
        <w:rPr>
          <w:rFonts w:ascii="宋体" w:hAnsi="宋体" w:cs="宋体"/>
          <w:b/>
          <w:bCs/>
          <w:kern w:val="0"/>
          <w:sz w:val="44"/>
          <w:szCs w:val="44"/>
        </w:rPr>
      </w:pPr>
    </w:p>
    <w:p w14:paraId="5AF7918B">
      <w:pPr>
        <w:spacing w:line="660" w:lineRule="exact"/>
        <w:jc w:val="center"/>
        <w:rPr>
          <w:rFonts w:ascii="宋体" w:hAnsi="宋体" w:cs="宋体"/>
          <w:b/>
          <w:bCs/>
          <w:kern w:val="0"/>
          <w:sz w:val="44"/>
          <w:szCs w:val="44"/>
        </w:rPr>
      </w:pPr>
    </w:p>
    <w:p w14:paraId="2B1EDB9C">
      <w:pPr>
        <w:spacing w:line="660" w:lineRule="exact"/>
        <w:jc w:val="center"/>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华池县柔远幼儿园</w:t>
      </w:r>
    </w:p>
    <w:p w14:paraId="783A368B">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lang w:eastAsia="zh-CN"/>
        </w:rPr>
        <w:t>2025</w:t>
      </w:r>
      <w:r>
        <w:rPr>
          <w:rFonts w:hint="eastAsia" w:ascii="宋体" w:hAnsi="宋体" w:cs="宋体"/>
          <w:b/>
          <w:bCs/>
          <w:kern w:val="0"/>
          <w:sz w:val="44"/>
          <w:szCs w:val="44"/>
        </w:rPr>
        <w:t xml:space="preserve">年部门/单位预算公开情况说明 </w:t>
      </w:r>
    </w:p>
    <w:p w14:paraId="23298934">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第二部分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年部门/单位预算情况说明</w:t>
      </w:r>
    </w:p>
    <w:p w14:paraId="44EBD67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14:paraId="0BB73FF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14:paraId="4A12B8CB">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14:paraId="435BC81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14:paraId="2F88CE3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14:paraId="5046C445">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14:paraId="6D55E2E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14:paraId="171C491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14:paraId="7042C3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14:paraId="734FD345">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 xml:space="preserve">第三部分 </w:t>
      </w:r>
      <w:r>
        <w:rPr>
          <w:rFonts w:hint="eastAsia" w:ascii="仿宋_GB2312" w:hAnsi="仿宋" w:eastAsia="仿宋_GB2312"/>
          <w:b/>
          <w:color w:val="000000"/>
          <w:sz w:val="30"/>
          <w:szCs w:val="30"/>
          <w:lang w:eastAsia="zh-CN"/>
        </w:rPr>
        <w:t>2025</w:t>
      </w:r>
      <w:r>
        <w:rPr>
          <w:rFonts w:hint="eastAsia" w:ascii="仿宋_GB2312" w:hAnsi="仿宋" w:eastAsia="仿宋_GB2312"/>
          <w:b/>
          <w:color w:val="000000"/>
          <w:sz w:val="30"/>
          <w:szCs w:val="30"/>
        </w:rPr>
        <w:t>年部门（单位）预算公开表</w:t>
      </w:r>
    </w:p>
    <w:p w14:paraId="3FD2078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ascii="仿宋_GB2312" w:hAnsi="宋体" w:eastAsia="仿宋_GB2312" w:cs="宋体"/>
          <w:b/>
          <w:bCs/>
          <w:kern w:val="0"/>
          <w:sz w:val="44"/>
          <w:szCs w:val="44"/>
        </w:rPr>
      </w:pPr>
    </w:p>
    <w:p w14:paraId="39CAF8AB">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年部门预算公开如下：</w:t>
      </w:r>
    </w:p>
    <w:p w14:paraId="1BFDDEEA">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一、部门/单位职责</w:t>
      </w:r>
    </w:p>
    <w:p w14:paraId="37AC588A">
      <w:pPr>
        <w:pStyle w:val="7"/>
        <w:spacing w:before="0" w:beforeAutospacing="0" w:afterAutospacing="0"/>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华池县柔远幼儿园</w:t>
      </w:r>
      <w:r>
        <w:rPr>
          <w:rFonts w:ascii="Times New Roman" w:hAnsi="Times New Roman" w:eastAsia="仿宋_GB2312" w:cs="Times New Roman"/>
          <w:color w:val="000000" w:themeColor="text1"/>
          <w:sz w:val="32"/>
          <w:szCs w:val="32"/>
          <w14:textFill>
            <w14:solidFill>
              <w14:schemeClr w14:val="tx1"/>
            </w14:solidFill>
          </w14:textFill>
        </w:rPr>
        <w:t>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属全额拨款事业单位，隶属于华池县教育局下属二级单位，主要负责本辖区内及周边附近适龄儿童保育保教活动</w:t>
      </w:r>
      <w:r>
        <w:rPr>
          <w:rFonts w:ascii="Times New Roman" w:hAnsi="Times New Roman" w:eastAsia="仿宋_GB2312" w:cs="Times New Roman"/>
          <w:color w:val="000000" w:themeColor="text1"/>
          <w:sz w:val="32"/>
          <w:szCs w:val="32"/>
          <w14:textFill>
            <w14:solidFill>
              <w14:schemeClr w14:val="tx1"/>
            </w14:solidFill>
          </w14:textFill>
        </w:rPr>
        <w:t>。主要职责是:</w:t>
      </w:r>
    </w:p>
    <w:p w14:paraId="5A74B4AA">
      <w:pPr>
        <w:pStyle w:val="7"/>
        <w:spacing w:before="0" w:beforeAutospacing="0" w:afterAutospacing="0"/>
        <w:ind w:firstLine="640" w:firstLineChars="200"/>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1.研究拟定全校教育发展战略法，贯彻执行党和国家的教育方针、政策、法规。</w:t>
      </w:r>
    </w:p>
    <w:p w14:paraId="6A5393C5">
      <w:pPr>
        <w:pStyle w:val="7"/>
        <w:spacing w:before="0" w:beforeAutospacing="0" w:afterAutospacing="0"/>
        <w:ind w:firstLine="640" w:firstLineChars="200"/>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2.研究拟定学校发展规划和年度计划，组织实施教育体制和办学体制改革。</w:t>
      </w:r>
    </w:p>
    <w:p w14:paraId="7D72D484">
      <w:pPr>
        <w:pStyle w:val="7"/>
        <w:spacing w:before="0" w:beforeAutospacing="0" w:afterAutospacing="0"/>
        <w:ind w:firstLine="640" w:firstLineChars="200"/>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3.管理和指导学校基础教育工作；确保学前教育工作成果。</w:t>
      </w:r>
    </w:p>
    <w:p w14:paraId="021F6ABD">
      <w:pPr>
        <w:pStyle w:val="7"/>
        <w:spacing w:before="0" w:beforeAutospacing="0" w:afterAutospacing="0"/>
        <w:ind w:firstLine="640" w:firstLineChars="200"/>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4.管理学校教育经费；管理学校教育经费，执行财务管理制度。</w:t>
      </w:r>
    </w:p>
    <w:p w14:paraId="7F339BE3">
      <w:pPr>
        <w:spacing w:line="600" w:lineRule="exact"/>
        <w:ind w:firstLine="640" w:firstLineChars="200"/>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5.负责和指导学校教职工的思想政治工作，规划学校品德教育、体育卫生教育、艺术教育和国防教育工作；负责做好社会治安综合治理及安全保卫工作。</w:t>
      </w:r>
    </w:p>
    <w:p w14:paraId="720E48B4">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7DDAE8F3">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5"/>
        <w:jc w:val="both"/>
        <w:textAlignment w:val="auto"/>
        <w:rPr>
          <w:rFonts w:ascii="仿宋_GB2312" w:hAnsi="仿宋" w:eastAsia="仿宋_GB2312" w:cs="宋体"/>
          <w:kern w:val="0"/>
          <w:sz w:val="32"/>
          <w:szCs w:val="32"/>
        </w:rPr>
      </w:pP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华池县柔远幼儿园</w:t>
      </w:r>
      <w:r>
        <w:rPr>
          <w:rFonts w:ascii="Times New Roman" w:hAnsi="Times New Roman" w:eastAsia="仿宋_GB2312" w:cs="Times New Roman"/>
          <w:color w:val="000000" w:themeColor="text1"/>
          <w:sz w:val="32"/>
          <w:szCs w:val="32"/>
          <w14:textFill>
            <w14:solidFill>
              <w14:schemeClr w14:val="tx1"/>
            </w14:solidFill>
          </w14:textFill>
        </w:rPr>
        <w:t>内设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十</w:t>
      </w: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六个职能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股室</w:t>
      </w:r>
      <w:r>
        <w:rPr>
          <w:rFonts w:ascii="Times New Roman" w:hAnsi="Times New Roman" w:eastAsia="仿宋_GB2312" w:cs="Times New Roman"/>
          <w:color w:val="000000" w:themeColor="text1"/>
          <w:sz w:val="32"/>
          <w:szCs w:val="32"/>
          <w14:textFill>
            <w14:solidFill>
              <w14:schemeClr w14:val="tx1"/>
            </w14:solidFill>
          </w14:textFill>
        </w:rPr>
        <w:t>,包括: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仿宋_GB2312" w:eastAsia="仿宋_GB2312" w:cs="仿宋_GB2312"/>
          <w:b w:val="0"/>
          <w:i w:val="0"/>
          <w:caps w:val="0"/>
          <w:color w:val="000000" w:themeColor="text1"/>
          <w:spacing w:val="0"/>
          <w:sz w:val="32"/>
          <w:szCs w:val="32"/>
          <w:lang w:val="en-US" w:eastAsia="zh-CN"/>
          <w14:textFill>
            <w14:solidFill>
              <w14:schemeClr w14:val="tx1"/>
            </w14:solidFill>
          </w14:textFill>
        </w:rPr>
        <w:t>个会议室、一个园务室、一个财务室、十个教学班、一个舞蹈室、一个美工室。</w:t>
      </w:r>
    </w:p>
    <w:p w14:paraId="316EA88B">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4E664AEF">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w:t>
      </w:r>
    </w:p>
    <w:p w14:paraId="1A18BC42">
      <w:pPr>
        <w:spacing w:line="60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7E68A6CD">
      <w:pPr>
        <w:spacing w:line="600" w:lineRule="exact"/>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无</w:t>
      </w:r>
    </w:p>
    <w:p w14:paraId="154D8898">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w:t>
      </w: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年部门（单位）收支包括机关预算和直属单位预算在内的汇总情况。</w:t>
      </w:r>
    </w:p>
    <w:p w14:paraId="02D85CD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2025</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447.23</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w:t>
      </w:r>
      <w:r>
        <w:rPr>
          <w:rFonts w:hint="eastAsia" w:ascii="仿宋_GB2312" w:hAnsi="仿宋" w:eastAsia="仿宋_GB2312"/>
          <w:sz w:val="32"/>
          <w:szCs w:val="32"/>
          <w:lang w:val="en-US" w:eastAsia="zh-CN"/>
        </w:rPr>
        <w:t>447.23</w:t>
      </w:r>
      <w:r>
        <w:rPr>
          <w:rFonts w:hint="eastAsia" w:ascii="仿宋_GB2312" w:hAnsi="仿宋" w:eastAsia="仿宋_GB2312"/>
          <w:sz w:val="32"/>
          <w:szCs w:val="32"/>
        </w:rPr>
        <w:t>万元</w:t>
      </w:r>
      <w:r>
        <w:rPr>
          <w:rFonts w:hint="eastAsia" w:ascii="仿宋_GB2312" w:hAnsi="仿宋" w:eastAsia="仿宋_GB2312" w:cs="宋体"/>
          <w:kern w:val="0"/>
          <w:sz w:val="32"/>
          <w:szCs w:val="32"/>
        </w:rPr>
        <w:t>；支出包括：教育支出</w:t>
      </w:r>
      <w:r>
        <w:rPr>
          <w:rFonts w:hint="eastAsia" w:ascii="仿宋_GB2312" w:hAnsi="仿宋" w:eastAsia="仿宋_GB2312" w:cs="宋体"/>
          <w:kern w:val="0"/>
          <w:sz w:val="32"/>
          <w:szCs w:val="32"/>
          <w:lang w:val="en-US" w:eastAsia="zh-CN"/>
        </w:rPr>
        <w:t>324.99万元</w:t>
      </w:r>
      <w:r>
        <w:rPr>
          <w:rFonts w:hint="eastAsia" w:ascii="仿宋_GB2312" w:hAnsi="仿宋" w:eastAsia="仿宋_GB2312" w:cs="宋体"/>
          <w:kern w:val="0"/>
          <w:sz w:val="32"/>
          <w:szCs w:val="32"/>
        </w:rPr>
        <w:t>、社会保障和就业支出</w:t>
      </w:r>
      <w:r>
        <w:rPr>
          <w:rFonts w:hint="eastAsia" w:ascii="仿宋_GB2312" w:hAnsi="仿宋" w:eastAsia="仿宋_GB2312" w:cs="宋体"/>
          <w:kern w:val="0"/>
          <w:sz w:val="32"/>
          <w:szCs w:val="32"/>
          <w:lang w:val="en-US" w:eastAsia="zh-CN"/>
        </w:rPr>
        <w:t>70.18万元</w:t>
      </w:r>
      <w:r>
        <w:rPr>
          <w:rFonts w:hint="eastAsia" w:ascii="仿宋_GB2312" w:hAnsi="仿宋" w:eastAsia="仿宋_GB2312" w:cs="宋体"/>
          <w:kern w:val="0"/>
          <w:sz w:val="32"/>
          <w:szCs w:val="32"/>
        </w:rPr>
        <w:t>、卫生健康支出</w:t>
      </w:r>
      <w:r>
        <w:rPr>
          <w:rFonts w:hint="eastAsia" w:ascii="仿宋_GB2312" w:hAnsi="仿宋" w:eastAsia="仿宋_GB2312" w:cs="宋体"/>
          <w:kern w:val="0"/>
          <w:sz w:val="32"/>
          <w:szCs w:val="32"/>
          <w:lang w:val="en-US" w:eastAsia="zh-CN"/>
        </w:rPr>
        <w:t>21.01万元</w:t>
      </w:r>
      <w:r>
        <w:rPr>
          <w:rFonts w:hint="eastAsia" w:ascii="仿宋_GB2312" w:hAnsi="仿宋" w:eastAsia="仿宋_GB2312" w:cs="宋体"/>
          <w:kern w:val="0"/>
          <w:sz w:val="32"/>
          <w:szCs w:val="32"/>
        </w:rPr>
        <w:t>、住房保障支出</w:t>
      </w:r>
      <w:r>
        <w:rPr>
          <w:rFonts w:hint="eastAsia" w:ascii="仿宋_GB2312" w:hAnsi="仿宋" w:eastAsia="仿宋_GB2312" w:cs="宋体"/>
          <w:kern w:val="0"/>
          <w:sz w:val="32"/>
          <w:szCs w:val="32"/>
          <w:lang w:val="en-US" w:eastAsia="zh-CN"/>
        </w:rPr>
        <w:t>31.05万元</w:t>
      </w:r>
      <w:r>
        <w:rPr>
          <w:rFonts w:hint="eastAsia" w:ascii="仿宋_GB2312" w:hAnsi="仿宋" w:eastAsia="仿宋_GB2312" w:cs="宋体"/>
          <w:kern w:val="0"/>
          <w:sz w:val="32"/>
          <w:szCs w:val="32"/>
        </w:rPr>
        <w:t>。</w:t>
      </w:r>
    </w:p>
    <w:p w14:paraId="78846D78">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447.23</w:t>
      </w:r>
      <w:r>
        <w:rPr>
          <w:rFonts w:hint="eastAsia" w:ascii="仿宋_GB2312" w:hAnsi="仿宋" w:eastAsia="仿宋_GB2312"/>
          <w:sz w:val="32"/>
          <w:szCs w:val="32"/>
        </w:rPr>
        <w:t>万元（详见部门/单位预算公开表1,2）。包括：</w:t>
      </w:r>
    </w:p>
    <w:p w14:paraId="14E911E5">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一般公共预算收入</w:t>
      </w:r>
      <w:r>
        <w:rPr>
          <w:rFonts w:hint="eastAsia" w:ascii="仿宋_GB2312" w:hAnsi="仿宋" w:eastAsia="仿宋_GB2312"/>
          <w:sz w:val="32"/>
          <w:szCs w:val="32"/>
          <w:lang w:val="en-US" w:eastAsia="zh-CN"/>
        </w:rPr>
        <w:t>447.23</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2217B58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447.23</w:t>
      </w:r>
      <w:r>
        <w:rPr>
          <w:rFonts w:hint="eastAsia" w:ascii="仿宋_GB2312" w:hAnsi="仿宋" w:eastAsia="仿宋_GB2312"/>
          <w:sz w:val="32"/>
          <w:szCs w:val="32"/>
        </w:rPr>
        <w:t>万元（详见部门/单位预算公开表3）。</w:t>
      </w:r>
      <w:r>
        <w:rPr>
          <w:rStyle w:val="21"/>
          <w:rFonts w:hint="default" w:hAnsi="仿宋"/>
        </w:rPr>
        <w:t>其中：基本支出</w:t>
      </w:r>
      <w:r>
        <w:rPr>
          <w:rStyle w:val="22"/>
          <w:rFonts w:hint="eastAsia" w:ascii="仿宋_GB2312" w:hAnsi="仿宋" w:eastAsia="仿宋_GB2312"/>
          <w:lang w:val="en-US" w:eastAsia="zh-CN"/>
        </w:rPr>
        <w:t>447.23</w:t>
      </w:r>
      <w:r>
        <w:rPr>
          <w:rStyle w:val="21"/>
          <w:rFonts w:hint="default" w:hAnsi="仿宋"/>
        </w:rPr>
        <w:t>万元， 占</w:t>
      </w:r>
      <w:r>
        <w:rPr>
          <w:rStyle w:val="21"/>
          <w:rFonts w:hint="eastAsia" w:hAnsi="仿宋" w:eastAsia="仿宋_GB2312"/>
          <w:lang w:val="en-US" w:eastAsia="zh-CN"/>
        </w:rPr>
        <w:t>100</w:t>
      </w:r>
      <w:r>
        <w:rPr>
          <w:rStyle w:val="22"/>
          <w:rFonts w:hint="eastAsia" w:ascii="仿宋_GB2312" w:hAnsi="仿宋" w:eastAsia="仿宋_GB2312"/>
        </w:rPr>
        <w:t>%</w:t>
      </w:r>
      <w:r>
        <w:rPr>
          <w:rStyle w:val="21"/>
          <w:rFonts w:hint="default" w:hAnsi="仿宋"/>
        </w:rPr>
        <w:t>。</w:t>
      </w:r>
    </w:p>
    <w:p w14:paraId="7D7ADD5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spacing w:line="600" w:lineRule="exact"/>
        <w:ind w:firstLine="640" w:firstLineChars="200"/>
        <w:rPr>
          <w:rFonts w:ascii="仿宋_GB2312" w:hAnsi="仿宋" w:eastAsia="仿宋_GB2312"/>
          <w:sz w:val="32"/>
          <w:szCs w:val="32"/>
        </w:rPr>
      </w:pPr>
      <w:r>
        <w:rPr>
          <w:rStyle w:val="22"/>
          <w:rFonts w:hint="eastAsia" w:ascii="仿宋_GB2312" w:hAnsi="仿宋" w:eastAsia="仿宋_GB2312"/>
          <w:lang w:eastAsia="zh-CN"/>
        </w:rPr>
        <w:t>2025</w:t>
      </w:r>
      <w:r>
        <w:rPr>
          <w:rStyle w:val="21"/>
          <w:rFonts w:hint="default" w:hAnsi="仿宋"/>
        </w:rPr>
        <w:t>年一般公共预算当年支出</w:t>
      </w:r>
      <w:r>
        <w:rPr>
          <w:rStyle w:val="22"/>
          <w:rFonts w:hint="eastAsia" w:ascii="仿宋_GB2312" w:hAnsi="仿宋" w:eastAsia="仿宋_GB2312"/>
          <w:lang w:val="en-US" w:eastAsia="zh-CN"/>
        </w:rPr>
        <w:t>447.23</w:t>
      </w:r>
      <w:r>
        <w:rPr>
          <w:rStyle w:val="21"/>
          <w:rFonts w:hint="default" w:hAnsi="仿宋"/>
        </w:rPr>
        <w:t>万元，包括：</w:t>
      </w:r>
      <w:r>
        <w:rPr>
          <w:rFonts w:hint="eastAsia" w:ascii="仿宋_GB2312" w:hAnsi="仿宋" w:eastAsia="仿宋_GB2312" w:cs="宋体"/>
          <w:kern w:val="0"/>
          <w:sz w:val="32"/>
          <w:szCs w:val="32"/>
        </w:rPr>
        <w:t>教育支出</w:t>
      </w:r>
      <w:r>
        <w:rPr>
          <w:rFonts w:hint="eastAsia" w:ascii="仿宋_GB2312" w:hAnsi="仿宋" w:eastAsia="仿宋_GB2312" w:cs="宋体"/>
          <w:kern w:val="0"/>
          <w:sz w:val="32"/>
          <w:szCs w:val="32"/>
          <w:lang w:val="en-US" w:eastAsia="zh-CN"/>
        </w:rPr>
        <w:t>324.99万元</w:t>
      </w:r>
      <w:r>
        <w:rPr>
          <w:rFonts w:hint="eastAsia" w:ascii="仿宋_GB2312" w:hAnsi="仿宋" w:eastAsia="仿宋_GB2312" w:cs="宋体"/>
          <w:kern w:val="0"/>
          <w:sz w:val="32"/>
          <w:szCs w:val="32"/>
        </w:rPr>
        <w:t>、社会保障和就业支出</w:t>
      </w:r>
      <w:r>
        <w:rPr>
          <w:rFonts w:hint="eastAsia" w:ascii="仿宋_GB2312" w:hAnsi="仿宋" w:eastAsia="仿宋_GB2312" w:cs="宋体"/>
          <w:kern w:val="0"/>
          <w:sz w:val="32"/>
          <w:szCs w:val="32"/>
          <w:lang w:val="en-US" w:eastAsia="zh-CN"/>
        </w:rPr>
        <w:t>70.18万元</w:t>
      </w:r>
      <w:r>
        <w:rPr>
          <w:rFonts w:hint="eastAsia" w:ascii="仿宋_GB2312" w:hAnsi="仿宋" w:eastAsia="仿宋_GB2312" w:cs="宋体"/>
          <w:kern w:val="0"/>
          <w:sz w:val="32"/>
          <w:szCs w:val="32"/>
        </w:rPr>
        <w:t>、卫生健康支出</w:t>
      </w:r>
      <w:r>
        <w:rPr>
          <w:rFonts w:hint="eastAsia" w:ascii="仿宋_GB2312" w:hAnsi="仿宋" w:eastAsia="仿宋_GB2312" w:cs="宋体"/>
          <w:kern w:val="0"/>
          <w:sz w:val="32"/>
          <w:szCs w:val="32"/>
          <w:lang w:val="en-US" w:eastAsia="zh-CN"/>
        </w:rPr>
        <w:t>21.01万元</w:t>
      </w:r>
      <w:r>
        <w:rPr>
          <w:rFonts w:hint="eastAsia" w:ascii="仿宋_GB2312" w:hAnsi="仿宋" w:eastAsia="仿宋_GB2312" w:cs="宋体"/>
          <w:kern w:val="0"/>
          <w:sz w:val="32"/>
          <w:szCs w:val="32"/>
        </w:rPr>
        <w:t>、住房保障支出</w:t>
      </w:r>
      <w:r>
        <w:rPr>
          <w:rFonts w:hint="eastAsia" w:ascii="仿宋_GB2312" w:hAnsi="仿宋" w:eastAsia="仿宋_GB2312" w:cs="宋体"/>
          <w:kern w:val="0"/>
          <w:sz w:val="32"/>
          <w:szCs w:val="32"/>
          <w:lang w:val="en-US" w:eastAsia="zh-CN"/>
        </w:rPr>
        <w:t>31.05万元</w:t>
      </w:r>
      <w:r>
        <w:rPr>
          <w:rStyle w:val="21"/>
          <w:rFonts w:hint="default" w:hAnsi="仿宋"/>
        </w:rPr>
        <w:t>。</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2025</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447.23</w:t>
      </w:r>
      <w:r>
        <w:rPr>
          <w:rFonts w:hint="eastAsia" w:ascii="仿宋_GB2312" w:hAnsi="仿宋" w:eastAsia="仿宋_GB2312"/>
          <w:sz w:val="32"/>
          <w:szCs w:val="32"/>
        </w:rPr>
        <w:t>万元，比</w:t>
      </w:r>
      <w:r>
        <w:rPr>
          <w:rFonts w:hint="eastAsia" w:ascii="仿宋_GB2312" w:hAnsi="仿宋" w:eastAsia="仿宋_GB2312"/>
          <w:sz w:val="32"/>
          <w:szCs w:val="32"/>
          <w:lang w:eastAsia="zh-CN"/>
        </w:rPr>
        <w:t>2024</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29.55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5.83</w:t>
      </w:r>
      <w:r>
        <w:rPr>
          <w:rFonts w:hint="eastAsia" w:ascii="仿宋_GB2312" w:hAnsi="仿宋" w:eastAsia="仿宋_GB2312"/>
          <w:sz w:val="32"/>
          <w:szCs w:val="32"/>
        </w:rPr>
        <w:t>%，下降的主要原因是</w:t>
      </w:r>
      <w:r>
        <w:rPr>
          <w:rFonts w:hint="eastAsia" w:ascii="仿宋_GB2312" w:hAnsi="仿宋" w:eastAsia="仿宋_GB2312"/>
          <w:sz w:val="32"/>
          <w:szCs w:val="32"/>
          <w:lang w:val="en-US" w:eastAsia="zh-CN"/>
        </w:rPr>
        <w:t>学生人数和教职工人数减少。</w:t>
      </w:r>
    </w:p>
    <w:p w14:paraId="708834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430.88</w:t>
      </w:r>
      <w:r>
        <w:rPr>
          <w:rFonts w:hint="eastAsia" w:ascii="仿宋_GB2312" w:hAnsi="仿宋" w:eastAsia="仿宋_GB2312"/>
          <w:sz w:val="32"/>
          <w:szCs w:val="32"/>
        </w:rPr>
        <w:t>万元，主要包括：基本工资</w:t>
      </w:r>
      <w:r>
        <w:rPr>
          <w:rFonts w:hint="eastAsia" w:ascii="仿宋_GB2312" w:hAnsi="仿宋" w:eastAsia="仿宋_GB2312"/>
          <w:sz w:val="32"/>
          <w:szCs w:val="32"/>
          <w:lang w:val="en-US" w:eastAsia="zh-CN"/>
        </w:rPr>
        <w:t>124.03万元</w:t>
      </w:r>
      <w:r>
        <w:rPr>
          <w:rFonts w:hint="eastAsia" w:ascii="仿宋_GB2312" w:hAnsi="仿宋" w:eastAsia="仿宋_GB2312"/>
          <w:sz w:val="32"/>
          <w:szCs w:val="32"/>
        </w:rPr>
        <w:t>、津贴补贴156.27</w:t>
      </w:r>
      <w:r>
        <w:rPr>
          <w:rFonts w:hint="eastAsia" w:ascii="仿宋_GB2312" w:hAnsi="仿宋" w:eastAsia="仿宋_GB2312"/>
          <w:sz w:val="32"/>
          <w:szCs w:val="32"/>
          <w:lang w:val="en-US" w:eastAsia="zh-CN"/>
        </w:rPr>
        <w:t>万元</w:t>
      </w:r>
      <w:r>
        <w:rPr>
          <w:rFonts w:hint="eastAsia" w:ascii="仿宋_GB2312" w:hAnsi="仿宋" w:eastAsia="仿宋_GB2312"/>
          <w:sz w:val="32"/>
          <w:szCs w:val="32"/>
        </w:rPr>
        <w:t>、奖金</w:t>
      </w:r>
      <w:r>
        <w:rPr>
          <w:rFonts w:hint="eastAsia" w:ascii="仿宋_GB2312" w:hAnsi="仿宋" w:eastAsia="仿宋_GB2312"/>
          <w:sz w:val="32"/>
          <w:szCs w:val="32"/>
          <w:lang w:val="en-US" w:eastAsia="zh-CN"/>
        </w:rPr>
        <w:t>28.34万元</w:t>
      </w:r>
      <w:r>
        <w:rPr>
          <w:rFonts w:hint="eastAsia" w:ascii="仿宋_GB2312" w:hAnsi="仿宋" w:eastAsia="仿宋_GB2312"/>
          <w:sz w:val="32"/>
          <w:szCs w:val="32"/>
          <w:lang w:eastAsia="zh-CN"/>
        </w:rPr>
        <w:t>、</w:t>
      </w:r>
      <w:r>
        <w:rPr>
          <w:rFonts w:hint="eastAsia" w:ascii="仿宋_GB2312" w:hAnsi="仿宋" w:eastAsia="仿宋_GB2312"/>
          <w:sz w:val="32"/>
          <w:szCs w:val="32"/>
        </w:rPr>
        <w:t>机关事业单位基本养老保险缴费</w:t>
      </w:r>
      <w:r>
        <w:rPr>
          <w:rFonts w:hint="eastAsia" w:ascii="仿宋_GB2312" w:hAnsi="仿宋" w:eastAsia="仿宋_GB2312"/>
          <w:sz w:val="32"/>
          <w:szCs w:val="32"/>
          <w:lang w:val="en-US" w:eastAsia="zh-CN"/>
        </w:rPr>
        <w:t>42.27万元</w:t>
      </w:r>
      <w:r>
        <w:rPr>
          <w:rFonts w:hint="eastAsia" w:ascii="仿宋_GB2312" w:hAnsi="仿宋" w:eastAsia="仿宋_GB2312"/>
          <w:sz w:val="32"/>
          <w:szCs w:val="32"/>
        </w:rPr>
        <w:t>、职业年金缴费</w:t>
      </w:r>
      <w:r>
        <w:rPr>
          <w:rFonts w:hint="eastAsia" w:ascii="仿宋_GB2312" w:hAnsi="仿宋" w:eastAsia="仿宋_GB2312"/>
          <w:sz w:val="32"/>
          <w:szCs w:val="32"/>
          <w:lang w:val="en-US" w:eastAsia="zh-CN"/>
        </w:rPr>
        <w:t>21.13万元</w:t>
      </w:r>
      <w:r>
        <w:rPr>
          <w:rFonts w:hint="eastAsia" w:ascii="仿宋_GB2312" w:hAnsi="仿宋" w:eastAsia="仿宋_GB2312"/>
          <w:sz w:val="32"/>
          <w:szCs w:val="32"/>
        </w:rPr>
        <w:t>、职工基本医疗保险缴费</w:t>
      </w:r>
      <w:r>
        <w:rPr>
          <w:rFonts w:hint="eastAsia" w:ascii="仿宋_GB2312" w:hAnsi="仿宋" w:eastAsia="仿宋_GB2312"/>
          <w:sz w:val="32"/>
          <w:szCs w:val="32"/>
          <w:lang w:val="en-US" w:eastAsia="zh-CN"/>
        </w:rPr>
        <w:t>16.82万元</w:t>
      </w:r>
      <w:r>
        <w:rPr>
          <w:rFonts w:hint="eastAsia" w:ascii="仿宋_GB2312" w:hAnsi="仿宋" w:eastAsia="仿宋_GB2312"/>
          <w:sz w:val="32"/>
          <w:szCs w:val="32"/>
        </w:rPr>
        <w:t>、公务员医疗补助缴费</w:t>
      </w:r>
      <w:r>
        <w:rPr>
          <w:rFonts w:hint="eastAsia" w:ascii="仿宋_GB2312" w:hAnsi="仿宋" w:eastAsia="仿宋_GB2312"/>
          <w:sz w:val="32"/>
          <w:szCs w:val="32"/>
          <w:lang w:val="en-US" w:eastAsia="zh-CN"/>
        </w:rPr>
        <w:t>4.19万元</w:t>
      </w:r>
      <w:r>
        <w:rPr>
          <w:rFonts w:hint="eastAsia" w:ascii="仿宋_GB2312" w:hAnsi="仿宋" w:eastAsia="仿宋_GB2312"/>
          <w:sz w:val="32"/>
          <w:szCs w:val="32"/>
        </w:rPr>
        <w:t>、其他社会保障缴费</w:t>
      </w:r>
      <w:r>
        <w:rPr>
          <w:rFonts w:hint="eastAsia" w:ascii="仿宋_GB2312" w:hAnsi="仿宋" w:eastAsia="仿宋_GB2312"/>
          <w:sz w:val="32"/>
          <w:szCs w:val="32"/>
          <w:lang w:val="en-US" w:eastAsia="zh-CN"/>
        </w:rPr>
        <w:t>6.78万元</w:t>
      </w:r>
      <w:r>
        <w:rPr>
          <w:rFonts w:hint="eastAsia" w:ascii="仿宋_GB2312" w:hAnsi="仿宋" w:eastAsia="仿宋_GB2312"/>
          <w:sz w:val="32"/>
          <w:szCs w:val="32"/>
        </w:rPr>
        <w:t>、住房公积金</w:t>
      </w:r>
      <w:r>
        <w:rPr>
          <w:rFonts w:hint="eastAsia" w:ascii="仿宋_GB2312" w:hAnsi="仿宋" w:eastAsia="仿宋_GB2312"/>
          <w:sz w:val="32"/>
          <w:szCs w:val="32"/>
          <w:lang w:val="en-US" w:eastAsia="zh-CN"/>
        </w:rPr>
        <w:t>30.05万元</w:t>
      </w:r>
      <w:r>
        <w:rPr>
          <w:rFonts w:hint="eastAsia" w:ascii="仿宋_GB2312" w:hAnsi="仿宋" w:eastAsia="仿宋_GB2312"/>
          <w:sz w:val="32"/>
          <w:szCs w:val="32"/>
        </w:rPr>
        <w:t>。</w:t>
      </w:r>
    </w:p>
    <w:p w14:paraId="5167C9C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16.35</w:t>
      </w:r>
      <w:r>
        <w:rPr>
          <w:rFonts w:hint="eastAsia" w:ascii="仿宋_GB2312" w:hAnsi="仿宋" w:eastAsia="仿宋_GB2312"/>
          <w:sz w:val="32"/>
          <w:szCs w:val="32"/>
        </w:rPr>
        <w:t>万元，主要包括：工会经费</w:t>
      </w:r>
      <w:r>
        <w:rPr>
          <w:rFonts w:hint="eastAsia" w:ascii="仿宋_GB2312" w:hAnsi="仿宋" w:eastAsia="仿宋_GB2312"/>
          <w:sz w:val="32"/>
          <w:szCs w:val="32"/>
          <w:lang w:val="en-US" w:eastAsia="zh-CN"/>
        </w:rPr>
        <w:t>3.11万元</w:t>
      </w:r>
      <w:r>
        <w:rPr>
          <w:rFonts w:hint="eastAsia" w:ascii="仿宋_GB2312" w:hAnsi="仿宋" w:eastAsia="仿宋_GB2312"/>
          <w:sz w:val="32"/>
          <w:szCs w:val="32"/>
        </w:rPr>
        <w:t>、福利费</w:t>
      </w:r>
      <w:r>
        <w:rPr>
          <w:rFonts w:hint="eastAsia" w:ascii="仿宋_GB2312" w:hAnsi="仿宋" w:eastAsia="仿宋_GB2312"/>
          <w:sz w:val="32"/>
          <w:szCs w:val="32"/>
          <w:lang w:val="en-US" w:eastAsia="zh-CN"/>
        </w:rPr>
        <w:t>6.47万元</w:t>
      </w:r>
      <w:r>
        <w:rPr>
          <w:rFonts w:hint="eastAsia" w:ascii="仿宋_GB2312" w:hAnsi="仿宋" w:eastAsia="仿宋_GB2312"/>
          <w:sz w:val="32"/>
          <w:szCs w:val="32"/>
          <w:lang w:eastAsia="zh-CN"/>
        </w:rPr>
        <w:t>、</w:t>
      </w:r>
      <w:r>
        <w:rPr>
          <w:rFonts w:hint="eastAsia" w:ascii="仿宋_GB2312" w:hAnsi="仿宋" w:eastAsia="仿宋_GB2312"/>
          <w:sz w:val="32"/>
          <w:szCs w:val="32"/>
        </w:rPr>
        <w:t>其他商品和服务支出</w:t>
      </w:r>
      <w:r>
        <w:rPr>
          <w:rFonts w:hint="eastAsia" w:ascii="仿宋_GB2312" w:hAnsi="仿宋" w:eastAsia="仿宋_GB2312"/>
          <w:sz w:val="32"/>
          <w:szCs w:val="32"/>
          <w:lang w:val="en-US" w:eastAsia="zh-CN"/>
        </w:rPr>
        <w:t>3.14万元、单位取暖费3.63万元</w:t>
      </w:r>
      <w:r>
        <w:rPr>
          <w:rFonts w:hint="eastAsia" w:ascii="仿宋_GB2312" w:hAnsi="仿宋" w:eastAsia="仿宋_GB2312"/>
          <w:sz w:val="32"/>
          <w:szCs w:val="32"/>
        </w:rPr>
        <w:t>。</w:t>
      </w:r>
    </w:p>
    <w:p w14:paraId="2CA5B85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2AE89569">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hAnsi="TimesNewRomanPS-BoldMT" w:eastAsia="仿宋_GB2312"/>
          <w:bCs/>
          <w:color w:val="000000"/>
          <w:sz w:val="32"/>
          <w:szCs w:val="32"/>
        </w:rPr>
        <w:t>1.</w:t>
      </w:r>
      <w:r>
        <w:rPr>
          <w:rFonts w:hint="eastAsia" w:ascii="仿宋_GB2312" w:hAnsi="TimesNewRomanPS-BoldMT" w:eastAsia="仿宋_GB2312"/>
          <w:bCs/>
          <w:color w:val="000000"/>
          <w:sz w:val="32"/>
          <w:szCs w:val="32"/>
          <w:lang w:val="en-US" w:eastAsia="zh-CN"/>
        </w:rPr>
        <w:t>教育支出</w:t>
      </w:r>
      <w:r>
        <w:rPr>
          <w:rFonts w:hint="eastAsia" w:ascii="仿宋_GB2312" w:hAnsi="TimesNewRomanPSMT" w:eastAsia="仿宋_GB2312"/>
          <w:color w:val="000000"/>
          <w:sz w:val="32"/>
          <w:szCs w:val="32"/>
          <w:lang w:eastAsia="zh-CN"/>
        </w:rPr>
        <w:t>2025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324.99</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lang w:eastAsia="zh-CN"/>
        </w:rPr>
        <w:t>2024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减少48.7</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学生人数和教职工人数减少。</w:t>
      </w:r>
    </w:p>
    <w:p w14:paraId="2C845A54">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rPr>
        <w:t>2.</w:t>
      </w:r>
      <w:r>
        <w:rPr>
          <w:rFonts w:hint="eastAsia" w:ascii="仿宋_GB2312" w:hAnsi="TimesNewRomanPS-BoldMT" w:eastAsia="仿宋_GB2312"/>
          <w:bCs/>
          <w:color w:val="000000"/>
          <w:sz w:val="32"/>
          <w:szCs w:val="32"/>
          <w:lang w:val="en-US" w:eastAsia="zh-CN"/>
        </w:rPr>
        <w:t>社会保障和就业支出</w:t>
      </w:r>
      <w:r>
        <w:rPr>
          <w:rFonts w:hint="eastAsia" w:ascii="仿宋_GB2312" w:hAnsi="TimesNewRomanPSMT" w:eastAsia="仿宋_GB2312"/>
          <w:color w:val="000000"/>
          <w:sz w:val="32"/>
          <w:szCs w:val="32"/>
          <w:lang w:eastAsia="zh-CN"/>
        </w:rPr>
        <w:t>2025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70.18</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lang w:eastAsia="zh-CN"/>
        </w:rPr>
        <w:t>2024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减少3.79</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教职工人数减少。</w:t>
      </w:r>
    </w:p>
    <w:p w14:paraId="6E18D650">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w:t>
      </w:r>
      <w:r>
        <w:rPr>
          <w:rFonts w:hint="eastAsia" w:ascii="仿宋_GB2312" w:hAnsi="TimesNewRomanPS-BoldMT" w:eastAsia="仿宋_GB2312"/>
          <w:bCs/>
          <w:color w:val="000000"/>
          <w:sz w:val="32"/>
          <w:szCs w:val="32"/>
          <w:lang w:val="en-US" w:eastAsia="zh-CN"/>
        </w:rPr>
        <w:t>卫生健康支出</w:t>
      </w:r>
      <w:r>
        <w:rPr>
          <w:rFonts w:hint="eastAsia" w:ascii="仿宋_GB2312" w:hAnsi="TimesNewRomanPSMT" w:eastAsia="仿宋_GB2312"/>
          <w:color w:val="000000"/>
          <w:sz w:val="32"/>
          <w:szCs w:val="32"/>
          <w:lang w:eastAsia="zh-CN"/>
        </w:rPr>
        <w:t>2025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20.01</w:t>
      </w:r>
      <w:r>
        <w:rPr>
          <w:rFonts w:hint="eastAsia" w:ascii="仿宋_GB2312" w:eastAsia="仿宋_GB2312"/>
          <w:color w:val="000000"/>
          <w:sz w:val="32"/>
          <w:szCs w:val="32"/>
        </w:rPr>
        <w:t>万元， 比</w:t>
      </w:r>
      <w:r>
        <w:rPr>
          <w:rFonts w:hint="eastAsia" w:ascii="仿宋_GB2312" w:hAnsi="TimesNewRomanPSMT" w:eastAsia="仿宋_GB2312"/>
          <w:color w:val="000000"/>
          <w:sz w:val="32"/>
          <w:szCs w:val="32"/>
          <w:lang w:eastAsia="zh-CN"/>
        </w:rPr>
        <w:t>2024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减少3.74</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教职工人数减少。</w:t>
      </w:r>
    </w:p>
    <w:p w14:paraId="544E2D59">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hAnsi="TimesNewRomanPS-BoldMT" w:eastAsia="仿宋_GB2312"/>
          <w:bCs/>
          <w:color w:val="000000"/>
          <w:sz w:val="32"/>
          <w:szCs w:val="32"/>
          <w:lang w:val="en-US" w:eastAsia="zh-CN"/>
        </w:rPr>
        <w:t>4.住房保障支出</w:t>
      </w:r>
      <w:r>
        <w:rPr>
          <w:rFonts w:hint="eastAsia" w:ascii="仿宋_GB2312" w:hAnsi="TimesNewRomanPSMT" w:eastAsia="仿宋_GB2312"/>
          <w:color w:val="000000"/>
          <w:sz w:val="32"/>
          <w:szCs w:val="32"/>
          <w:lang w:eastAsia="zh-CN"/>
        </w:rPr>
        <w:t>2025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31.05</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lang w:eastAsia="zh-CN"/>
        </w:rPr>
        <w:t>2024</w:t>
      </w:r>
      <w:r>
        <w:rPr>
          <w:rFonts w:hint="eastAsia" w:ascii="仿宋_GB2312" w:eastAsia="仿宋_GB2312"/>
          <w:color w:val="000000"/>
          <w:sz w:val="32"/>
          <w:szCs w:val="32"/>
        </w:rPr>
        <w:t>年预算</w:t>
      </w:r>
      <w:r>
        <w:rPr>
          <w:rFonts w:hint="eastAsia" w:ascii="仿宋_GB2312" w:eastAsia="仿宋_GB2312"/>
          <w:color w:val="000000"/>
          <w:sz w:val="32"/>
          <w:szCs w:val="32"/>
          <w:lang w:val="en-US" w:eastAsia="zh-CN"/>
        </w:rPr>
        <w:t>减少4.32</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教职工人数减少。</w:t>
      </w:r>
    </w:p>
    <w:p w14:paraId="0A65071F">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A1EA64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550AEC09">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本单位无“三公”经费预算</w:t>
      </w:r>
      <w:r>
        <w:rPr>
          <w:rFonts w:hint="eastAsia" w:ascii="仿宋_GB2312" w:hAnsi="仿宋" w:eastAsia="仿宋_GB2312"/>
          <w:sz w:val="32"/>
          <w:szCs w:val="32"/>
        </w:rPr>
        <w:t>。</w:t>
      </w:r>
    </w:p>
    <w:p w14:paraId="3C18502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306B284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本单位无培训费预算</w:t>
      </w:r>
      <w:r>
        <w:rPr>
          <w:rFonts w:hint="eastAsia" w:ascii="仿宋_GB2312" w:hAnsi="仿宋" w:eastAsia="仿宋_GB2312"/>
          <w:sz w:val="32"/>
          <w:szCs w:val="32"/>
        </w:rPr>
        <w:t>。</w:t>
      </w:r>
    </w:p>
    <w:p w14:paraId="27BFF129">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47F14B61">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lang w:eastAsia="zh-CN"/>
        </w:rPr>
        <w:t>本单位无会议费预算。</w:t>
      </w:r>
    </w:p>
    <w:p w14:paraId="7D35BB7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452426F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本单位</w:t>
      </w:r>
      <w:r>
        <w:rPr>
          <w:rFonts w:hint="eastAsia" w:ascii="仿宋_GB2312" w:hAnsi="仿宋" w:eastAsia="仿宋_GB2312"/>
          <w:sz w:val="32"/>
          <w:szCs w:val="32"/>
          <w:lang w:val="en-US" w:eastAsia="zh-CN"/>
        </w:rPr>
        <w:t>为事业单位</w:t>
      </w:r>
      <w:r>
        <w:rPr>
          <w:rFonts w:hint="eastAsia" w:ascii="仿宋_GB2312" w:hAnsi="仿宋" w:eastAsia="仿宋_GB2312"/>
          <w:sz w:val="32"/>
          <w:szCs w:val="32"/>
          <w:lang w:eastAsia="zh-CN"/>
        </w:rPr>
        <w:t>无</w:t>
      </w:r>
      <w:r>
        <w:rPr>
          <w:rFonts w:hint="eastAsia" w:ascii="仿宋_GB2312" w:hAnsi="仿宋" w:eastAsia="仿宋_GB2312"/>
          <w:sz w:val="32"/>
          <w:szCs w:val="32"/>
        </w:rPr>
        <w:t>机关运行经费。</w:t>
      </w:r>
    </w:p>
    <w:p w14:paraId="57B4FFAE">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06E6F35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2024年，部门（单位）政府采购预算总额</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万元，其中：政府采购货物预算</w:t>
      </w:r>
      <w:r>
        <w:rPr>
          <w:rFonts w:hint="eastAsia" w:ascii="仿宋_GB2312" w:hAnsi="仿宋" w:eastAsia="仿宋_GB2312"/>
          <w:sz w:val="32"/>
          <w:szCs w:val="32"/>
          <w:lang w:val="en-US" w:eastAsia="zh-CN"/>
        </w:rPr>
        <w:t>8</w:t>
      </w:r>
      <w:r>
        <w:rPr>
          <w:rFonts w:hint="eastAsia" w:ascii="仿宋_GB2312" w:hAnsi="仿宋" w:eastAsia="仿宋_GB2312"/>
          <w:sz w:val="32"/>
          <w:szCs w:val="32"/>
        </w:rPr>
        <w:t>万元，政府采购工程预算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000EFF1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 xml:space="preserve">2024年，部门（单位）面向中小企业预留政府采购项目预算金额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万元，小微企业预留政府采购项目预算金额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6A19352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76CAFBF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上年末固定资产金额为</w:t>
      </w:r>
      <w:r>
        <w:rPr>
          <w:rFonts w:hint="eastAsia" w:ascii="仿宋_GB2312" w:hAnsi="仿宋" w:eastAsia="仿宋_GB2312"/>
          <w:sz w:val="32"/>
          <w:szCs w:val="32"/>
          <w:lang w:val="en-US" w:eastAsia="zh-CN"/>
        </w:rPr>
        <w:t>244.47</w:t>
      </w:r>
      <w:r>
        <w:rPr>
          <w:rFonts w:hint="eastAsia" w:ascii="仿宋_GB2312" w:hAnsi="仿宋" w:eastAsia="仿宋_GB2312"/>
          <w:sz w:val="32"/>
          <w:szCs w:val="32"/>
        </w:rPr>
        <w:t>万元。其中：办公用房</w:t>
      </w:r>
      <w:r>
        <w:rPr>
          <w:rFonts w:hint="eastAsia" w:ascii="仿宋_GB2312" w:hAnsi="仿宋" w:eastAsia="仿宋_GB2312"/>
          <w:sz w:val="32"/>
          <w:szCs w:val="32"/>
          <w:lang w:val="en-US" w:eastAsia="zh-CN"/>
        </w:rPr>
        <w:t>471.43</w:t>
      </w:r>
      <w:r>
        <w:rPr>
          <w:rFonts w:hint="eastAsia" w:ascii="仿宋_GB2312" w:hAnsi="仿宋" w:eastAsia="仿宋_GB2312"/>
          <w:sz w:val="32"/>
          <w:szCs w:val="32"/>
        </w:rPr>
        <w:t>平方米，价值</w:t>
      </w:r>
      <w:r>
        <w:rPr>
          <w:rFonts w:hint="eastAsia" w:ascii="仿宋_GB2312" w:hAnsi="仿宋" w:eastAsia="仿宋_GB2312"/>
          <w:sz w:val="32"/>
          <w:szCs w:val="32"/>
          <w:lang w:val="en-US" w:eastAsia="zh-CN"/>
        </w:rPr>
        <w:t>110.64</w:t>
      </w:r>
      <w:r>
        <w:rPr>
          <w:rFonts w:hint="eastAsia" w:ascii="仿宋_GB2312" w:hAnsi="仿宋" w:eastAsia="仿宋_GB2312"/>
          <w:sz w:val="32"/>
          <w:szCs w:val="32"/>
        </w:rPr>
        <w:t>万元。预算部门（单位）共有公务用车</w:t>
      </w:r>
      <w:r>
        <w:rPr>
          <w:rFonts w:hint="eastAsia" w:ascii="仿宋_GB2312" w:hAnsi="仿宋" w:eastAsia="仿宋_GB2312"/>
          <w:sz w:val="32"/>
          <w:szCs w:val="32"/>
          <w:lang w:val="en-US" w:eastAsia="zh-CN"/>
        </w:rPr>
        <w:t>0</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万元。单价20万元以上的设备价值</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万元。2024年拟采购固定资产约</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AAB33A2">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45E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6EBDF31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792B6F0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0C54ABC8">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本部门/单位</w:t>
      </w:r>
      <w:r>
        <w:rPr>
          <w:rFonts w:hint="eastAsia" w:ascii="仿宋_GB2312" w:hAnsi="仿宋" w:eastAsia="仿宋_GB2312"/>
          <w:sz w:val="32"/>
          <w:szCs w:val="32"/>
          <w:lang w:eastAsia="zh-CN"/>
        </w:rPr>
        <w:t>2025</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09CA264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4703C47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51BD7EBF">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F6CF6AA">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5706112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1565C8AE">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1ED9B130">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C62EBEC">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w:t>
      </w:r>
      <w:r>
        <w:rPr>
          <w:rFonts w:hint="eastAsia" w:ascii="楷体_GB2312" w:hAnsi="楷体" w:eastAsia="楷体_GB2312" w:cs="宋体"/>
          <w:b/>
          <w:bCs/>
          <w:kern w:val="0"/>
          <w:sz w:val="32"/>
          <w:szCs w:val="32"/>
          <w:lang w:eastAsia="zh-CN"/>
        </w:rPr>
        <w:t>2024</w:t>
      </w:r>
      <w:r>
        <w:rPr>
          <w:rFonts w:hint="eastAsia" w:ascii="楷体_GB2312" w:hAnsi="楷体" w:eastAsia="楷体_GB2312" w:cs="宋体"/>
          <w:b/>
          <w:bCs/>
          <w:kern w:val="0"/>
          <w:sz w:val="32"/>
          <w:szCs w:val="32"/>
        </w:rPr>
        <w:t>年预算绩效管理工作情况。</w:t>
      </w:r>
    </w:p>
    <w:p w14:paraId="5B5CCF1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甘肃省人民政府关于全面实施预算绩效管理的实施意见》等相关要求，我们将绩效理念和方法融入预算编制、执行、决算和监督全过程认真开展各项工作。</w:t>
      </w:r>
    </w:p>
    <w:p w14:paraId="16CC0AAB">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年度，按照“谁申请资金，谁设置目标”的原则，部门预算管理的</w:t>
      </w:r>
      <w:r>
        <w:rPr>
          <w:rFonts w:hint="eastAsia" w:ascii="仿宋_GB2312" w:hAnsi="CIDFont+F6" w:eastAsia="仿宋_GB2312"/>
          <w:color w:val="000000"/>
          <w:sz w:val="32"/>
          <w:szCs w:val="32"/>
          <w:lang w:eastAsia="zh-CN"/>
        </w:rPr>
        <w:t>单位</w:t>
      </w:r>
      <w:r>
        <w:rPr>
          <w:rFonts w:hint="eastAsia" w:ascii="仿宋_GB2312" w:hAnsi="仿宋" w:eastAsia="仿宋_GB2312"/>
          <w:sz w:val="32"/>
          <w:szCs w:val="32"/>
        </w:rPr>
        <w:t>整体支出，按规定随年度预算一并公开，公开率为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7D24D9C4">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lang w:eastAsia="zh-CN"/>
        </w:rPr>
        <w:t>2024</w:t>
      </w:r>
      <w:r>
        <w:rPr>
          <w:rFonts w:hint="eastAsia" w:ascii="仿宋_GB2312" w:hAnsi="仿宋" w:eastAsia="仿宋_GB2312"/>
          <w:sz w:val="32"/>
          <w:szCs w:val="32"/>
        </w:rPr>
        <w:t>年7月，组织开展1-6月</w:t>
      </w:r>
      <w:r>
        <w:rPr>
          <w:rFonts w:hint="eastAsia" w:ascii="仿宋_GB2312" w:hAnsi="仿宋" w:eastAsia="仿宋_GB2312"/>
          <w:sz w:val="32"/>
          <w:szCs w:val="32"/>
          <w:lang w:eastAsia="zh-CN"/>
        </w:rPr>
        <w:t>部门整体</w:t>
      </w:r>
      <w:r>
        <w:rPr>
          <w:rFonts w:hint="eastAsia" w:ascii="仿宋_GB2312" w:hAnsi="仿宋" w:eastAsia="仿宋_GB2312"/>
          <w:sz w:val="32"/>
          <w:szCs w:val="32"/>
        </w:rPr>
        <w:t>绩效运行监控，截至1</w:t>
      </w:r>
      <w:r>
        <w:rPr>
          <w:rFonts w:hint="eastAsia" w:ascii="仿宋_GB2312" w:hAnsi="仿宋" w:eastAsia="仿宋_GB2312"/>
          <w:sz w:val="32"/>
          <w:szCs w:val="32"/>
          <w:lang w:val="en-US" w:eastAsia="zh-CN"/>
        </w:rPr>
        <w:t>2</w:t>
      </w:r>
      <w:r>
        <w:rPr>
          <w:rFonts w:hint="eastAsia" w:ascii="仿宋_GB2312" w:hAnsi="仿宋" w:eastAsia="仿宋_GB2312"/>
          <w:sz w:val="32"/>
          <w:szCs w:val="32"/>
        </w:rPr>
        <w:t>月底，如期完成预算执行和绩效目标指标值的，完成</w:t>
      </w:r>
      <w:bookmarkStart w:id="0" w:name="_GoBack"/>
      <w:bookmarkEnd w:id="0"/>
      <w:r>
        <w:rPr>
          <w:rFonts w:hint="eastAsia" w:ascii="仿宋_GB2312" w:hAnsi="仿宋" w:eastAsia="仿宋_GB2312"/>
          <w:sz w:val="32"/>
          <w:szCs w:val="32"/>
        </w:rPr>
        <w:t>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77E51A32">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lang w:eastAsia="zh-CN"/>
        </w:rPr>
        <w:t>2024</w:t>
      </w:r>
      <w:r>
        <w:rPr>
          <w:rFonts w:hint="eastAsia" w:ascii="仿宋_GB2312" w:hAnsi="仿宋" w:eastAsia="仿宋_GB2312"/>
          <w:sz w:val="32"/>
          <w:szCs w:val="32"/>
        </w:rPr>
        <w:t>年度，部门（单位）整体支出组织开展绩效自评，绩效自评覆盖率为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%。绩效自评结果随部门决算报送财政和随决算公开情况</w:t>
      </w:r>
      <w:r>
        <w:rPr>
          <w:rFonts w:hint="eastAsia" w:ascii="仿宋_GB2312" w:hAnsi="仿宋" w:eastAsia="仿宋_GB2312"/>
          <w:sz w:val="32"/>
          <w:szCs w:val="32"/>
          <w:lang w:eastAsia="zh-CN"/>
        </w:rPr>
        <w:t>：已完成单位整体支出绩效自评并报送财政，拟随决算一并公开</w:t>
      </w:r>
      <w:r>
        <w:rPr>
          <w:rFonts w:hint="eastAsia" w:ascii="仿宋_GB2312" w:hAnsi="仿宋" w:eastAsia="仿宋_GB2312"/>
          <w:sz w:val="32"/>
          <w:szCs w:val="32"/>
        </w:rPr>
        <w:t>。</w:t>
      </w:r>
    </w:p>
    <w:p w14:paraId="6317BAFE">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w:t>
      </w:r>
      <w:r>
        <w:rPr>
          <w:rFonts w:hint="eastAsia" w:ascii="仿宋_GB2312" w:hAnsi="仿宋" w:eastAsia="仿宋_GB2312"/>
          <w:sz w:val="32"/>
          <w:szCs w:val="32"/>
          <w:lang w:eastAsia="zh-CN"/>
        </w:rPr>
        <w:t>2024</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万元，2024年度增加（减少）部门预算项目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个。</w:t>
      </w:r>
    </w:p>
    <w:p w14:paraId="7067FDF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w:t>
      </w:r>
      <w:r>
        <w:rPr>
          <w:rFonts w:hint="eastAsia" w:ascii="楷体_GB2312" w:hAnsi="楷体" w:eastAsia="楷体_GB2312" w:cs="宋体"/>
          <w:b/>
          <w:bCs/>
          <w:kern w:val="0"/>
          <w:sz w:val="32"/>
          <w:szCs w:val="32"/>
          <w:lang w:eastAsia="zh-CN"/>
        </w:rPr>
        <w:t>2025</w:t>
      </w:r>
      <w:r>
        <w:rPr>
          <w:rFonts w:hint="eastAsia" w:ascii="楷体_GB2312" w:hAnsi="楷体" w:eastAsia="楷体_GB2312" w:cs="宋体"/>
          <w:b/>
          <w:bCs/>
          <w:kern w:val="0"/>
          <w:sz w:val="32"/>
          <w:szCs w:val="32"/>
        </w:rPr>
        <w:t>年绩效目标编制情况</w:t>
      </w:r>
    </w:p>
    <w:p w14:paraId="7216790C">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lang w:eastAsia="zh-CN"/>
        </w:rPr>
        <w:t>2025</w:t>
      </w:r>
      <w:r>
        <w:rPr>
          <w:rFonts w:hint="eastAsia" w:ascii="仿宋_GB2312" w:hAnsi="仿宋" w:eastAsia="仿宋_GB2312"/>
          <w:sz w:val="32"/>
          <w:szCs w:val="32"/>
        </w:rPr>
        <w:t>年，其中，部门整体支出绩效目标围绕部门管理、履职效果、能力建设三个维度，设置二级指标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12</w:t>
      </w:r>
      <w:r>
        <w:rPr>
          <w:rFonts w:hint="eastAsia" w:ascii="仿宋_GB2312" w:hAnsi="仿宋" w:eastAsia="仿宋_GB2312"/>
          <w:sz w:val="32"/>
          <w:szCs w:val="32"/>
        </w:rPr>
        <w:t>个；各项绩效目标内容指向明确、细化量化、合理可行，符合规定的格式要求。</w:t>
      </w:r>
    </w:p>
    <w:p w14:paraId="1B6BE290">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60CD35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FC9AB6B">
      <w:pPr>
        <w:adjustRightInd w:val="0"/>
        <w:snapToGrid w:val="0"/>
        <w:spacing w:line="640" w:lineRule="exact"/>
        <w:ind w:firstLine="643" w:firstLineChars="200"/>
        <w:contextualSpacing/>
        <w:rPr>
          <w:rFonts w:hint="eastAsia" w:ascii="仿宋_GB2312" w:hAnsi="CIDFont+F4" w:eastAsia="仿宋_GB2312"/>
          <w:b/>
          <w:color w:val="000000"/>
          <w:sz w:val="32"/>
          <w:szCs w:val="32"/>
        </w:rPr>
      </w:pPr>
      <w:r>
        <w:rPr>
          <w:rFonts w:hint="eastAsia" w:ascii="仿宋_GB2312" w:hAnsi="CIDFont+F4" w:eastAsia="仿宋_GB2312"/>
          <w:b/>
          <w:color w:val="000000"/>
          <w:sz w:val="32"/>
          <w:szCs w:val="32"/>
        </w:rPr>
        <w:t>（请部门/单位对编制中涉及的专业名词进行补充解释）</w:t>
      </w:r>
    </w:p>
    <w:p w14:paraId="453FCEBD">
      <w:pPr>
        <w:adjustRightInd w:val="0"/>
        <w:snapToGrid w:val="0"/>
        <w:spacing w:line="640" w:lineRule="exact"/>
        <w:contextualSpacing/>
        <w:jc w:val="both"/>
        <w:rPr>
          <w:rFonts w:hint="eastAsia" w:ascii="仿宋_GB2312" w:hAnsi="CIDFont+F6" w:eastAsia="仿宋_GB2312"/>
          <w:color w:val="000000"/>
          <w:sz w:val="32"/>
          <w:szCs w:val="32"/>
        </w:rPr>
      </w:pPr>
    </w:p>
    <w:p w14:paraId="7BF108C1">
      <w:pPr>
        <w:adjustRightInd w:val="0"/>
        <w:snapToGrid w:val="0"/>
        <w:spacing w:line="640" w:lineRule="exact"/>
        <w:ind w:right="96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lang w:val="en-US" w:eastAsia="zh-CN"/>
        </w:rPr>
        <w:t>华池县柔远幼儿园</w:t>
      </w:r>
      <w:r>
        <w:rPr>
          <w:rFonts w:hint="eastAsia" w:ascii="仿宋_GB2312" w:hAnsi="CIDFont+F6" w:eastAsia="仿宋_GB2312"/>
          <w:color w:val="000000"/>
          <w:sz w:val="32"/>
          <w:szCs w:val="32"/>
        </w:rPr>
        <w:t>部门/单位</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lang w:val="en-US" w:eastAsia="zh-CN"/>
        </w:rPr>
        <w:t>2025</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10</w:t>
      </w:r>
      <w:r>
        <w:rPr>
          <w:rFonts w:hint="eastAsia" w:ascii="仿宋_GB2312" w:hAnsi="CIDFont+F6" w:eastAsia="仿宋_GB2312"/>
          <w:color w:val="000000"/>
          <w:sz w:val="32"/>
          <w:szCs w:val="32"/>
        </w:rPr>
        <w:t>日</w:t>
      </w:r>
    </w:p>
    <w:p w14:paraId="104DAE91">
      <w:pPr>
        <w:adjustRightInd w:val="0"/>
        <w:snapToGrid w:val="0"/>
        <w:spacing w:line="640" w:lineRule="exact"/>
        <w:ind w:firstLine="640" w:firstLineChars="200"/>
        <w:contextualSpacing/>
        <w:rPr>
          <w:rFonts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 xml:space="preserve">名称 </w:t>
      </w:r>
      <w:r>
        <w:rPr>
          <w:rFonts w:hint="eastAsia" w:ascii="仿宋_GB2312" w:hAnsi="宋体" w:eastAsia="仿宋_GB2312" w:cs="宋体"/>
          <w:spacing w:val="-20"/>
          <w:kern w:val="0"/>
          <w:sz w:val="32"/>
          <w:szCs w:val="32"/>
          <w:lang w:eastAsia="zh-CN"/>
        </w:rPr>
        <w:t>2025</w:t>
      </w:r>
      <w:r>
        <w:rPr>
          <w:rFonts w:hint="eastAsia" w:ascii="仿宋_GB2312" w:hAnsi="宋体" w:eastAsia="仿宋_GB2312" w:cs="宋体"/>
          <w:spacing w:val="-20"/>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 xml:space="preserve">名称 </w:t>
      </w:r>
      <w:r>
        <w:rPr>
          <w:rFonts w:hint="eastAsia" w:ascii="仿宋_GB2312" w:hAnsi="宋体" w:eastAsia="仿宋_GB2312" w:cs="宋体"/>
          <w:kern w:val="0"/>
          <w:sz w:val="32"/>
          <w:szCs w:val="32"/>
          <w:lang w:eastAsia="zh-CN"/>
        </w:rPr>
        <w:t>2025</w:t>
      </w:r>
      <w:r>
        <w:rPr>
          <w:rFonts w:hint="eastAsia" w:ascii="仿宋_GB2312" w:hAnsi="宋体" w:eastAsia="仿宋_GB2312" w:cs="宋体"/>
          <w:kern w:val="0"/>
          <w:sz w:val="32"/>
          <w:szCs w:val="32"/>
        </w:rPr>
        <w:t>年</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1BD6D0D"/>
    <w:rsid w:val="02E03DF9"/>
    <w:rsid w:val="0C990E0C"/>
    <w:rsid w:val="113741D2"/>
    <w:rsid w:val="157355CE"/>
    <w:rsid w:val="18330BA7"/>
    <w:rsid w:val="1D34261E"/>
    <w:rsid w:val="22213037"/>
    <w:rsid w:val="2BE50FF9"/>
    <w:rsid w:val="42A05423"/>
    <w:rsid w:val="45C35CE9"/>
    <w:rsid w:val="4C433C79"/>
    <w:rsid w:val="527E074E"/>
    <w:rsid w:val="56393C72"/>
    <w:rsid w:val="579503FF"/>
    <w:rsid w:val="60535296"/>
    <w:rsid w:val="60D03445"/>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Char"/>
    <w:link w:val="5"/>
    <w:qFormat/>
    <w:uiPriority w:val="0"/>
    <w:rPr>
      <w:sz w:val="18"/>
      <w:szCs w:val="18"/>
    </w:rPr>
  </w:style>
  <w:style w:type="character" w:customStyle="1" w:styleId="14">
    <w:name w:val="页眉 Char"/>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Char"/>
    <w:link w:val="4"/>
    <w:qFormat/>
    <w:uiPriority w:val="0"/>
    <w:rPr>
      <w:kern w:val="2"/>
      <w:sz w:val="18"/>
      <w:szCs w:val="18"/>
    </w:rPr>
  </w:style>
  <w:style w:type="character" w:customStyle="1" w:styleId="17">
    <w:name w:val="标题 1 Char"/>
    <w:link w:val="2"/>
    <w:autoRedefine/>
    <w:qFormat/>
    <w:uiPriority w:val="0"/>
    <w:rPr>
      <w:rFonts w:ascii="Times New Roman" w:hAnsi="Times New Roman"/>
      <w:b/>
      <w:bCs/>
      <w:kern w:val="44"/>
      <w:sz w:val="44"/>
      <w:szCs w:val="44"/>
    </w:rPr>
  </w:style>
  <w:style w:type="paragraph" w:customStyle="1" w:styleId="1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Char"/>
    <w:link w:val="3"/>
    <w:qFormat/>
    <w:uiPriority w:val="0"/>
    <w:rPr>
      <w:kern w:val="2"/>
      <w:sz w:val="21"/>
      <w:szCs w:val="22"/>
    </w:rPr>
  </w:style>
  <w:style w:type="character" w:customStyle="1" w:styleId="20">
    <w:name w:val="批注主题 Char"/>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10</Pages>
  <Words>3424</Words>
  <Characters>3754</Characters>
  <Lines>68</Lines>
  <Paragraphs>19</Paragraphs>
  <TotalTime>4</TotalTime>
  <ScaleCrop>false</ScaleCrop>
  <LinksUpToDate>false</LinksUpToDate>
  <CharactersWithSpaces>3775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賣聿人</cp:lastModifiedBy>
  <cp:lastPrinted>2022-02-15T07:45:00Z</cp:lastPrinted>
  <dcterms:modified xsi:type="dcterms:W3CDTF">2025-02-10T12:57:24Z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03F10DE1864F4C43B38C31028D9016A7_13</vt:lpwstr>
  </property>
  <property fmtid="{D5CDD505-2E9C-101B-9397-08002B2CF9AE}" pid="4" name="KSOTemplateDocerSaveRecord">
    <vt:lpwstr>eyJoZGlkIjoiNWYzNzQxZWE2NjNmMmU4MGU2NmI2NDc5MzQ5MTE0Y2EiLCJ1c2VySWQiOiIyODY0MjQ1NDYifQ==</vt:lpwstr>
  </property>
</Properties>
</file>