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D4253B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华池县水务局</w:t>
      </w:r>
    </w:p>
    <w:p w14:paraId="77356E7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0576357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1713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华池县水务局是县政府工作部门，为正科级。华池县水务局贯彻落实党中央、省委、市委、县委关于水务工作的方针政策和决策部署，在履行职责过程中坚持和加强党对水务工作的集中统一领导。主要职责是：</w:t>
      </w:r>
    </w:p>
    <w:p w14:paraId="3029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（一）贯彻执行国家水利法律法规和省市有关政策规定，起草实施意见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拟定全县水利工作的政策、中长期规划和年度发展计划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89B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（二）拟定节约用水政策，编制节约用水规划，负责协调推进深化水利改革工作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保障水资源的合理开发利用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关标准，负责和监督节约用水工作，推动节水型社会建设工作。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办理水行政审批事项，组织实施取水许可、地下水开发利用和城市规划区地下水资源管理保护工作。</w:t>
      </w:r>
    </w:p>
    <w:p w14:paraId="190C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防治水土流失工作，拟定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水土保持规划，指导监督全县水土保持项目的实施及验收。</w:t>
      </w:r>
    </w:p>
    <w:p w14:paraId="77C8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承担全县水利工程建设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监督工程</w:t>
      </w:r>
      <w:r>
        <w:rPr>
          <w:rFonts w:hint="eastAsia" w:ascii="仿宋" w:hAnsi="仿宋" w:eastAsia="仿宋" w:cs="仿宋"/>
          <w:sz w:val="32"/>
          <w:szCs w:val="32"/>
        </w:rPr>
        <w:t>运行管理，负责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全县水利设施、水域及其岸线的管理与保护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农村饮水安全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负责农村水利社会化服务体系建设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全县水利工程建设造价管理工作。</w:t>
      </w:r>
    </w:p>
    <w:p w14:paraId="7445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指导河湖规范管理，制定河湖整治规划，合理调配水量，指导河湖水生态保护与修复。</w:t>
      </w:r>
    </w:p>
    <w:p w14:paraId="355F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（六）负责水库、水利工程建设、水利建设市场的监督管理。</w:t>
      </w:r>
    </w:p>
    <w:p w14:paraId="7081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（七）承办县委、县政府和省、市水务部门交办的其他事项。</w:t>
      </w:r>
    </w:p>
    <w:p w14:paraId="5E32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能转变：县水务局应加强水资源合理利用、优化配置和节约保护。坚持节水优先，从增加供给转向更加重视需求管理，严格控制用水总量和提高用水效率。坚持保护优先，加强水资源、和水利工程的管理保护，维护河湖健康美丽。坚持统筹兼顾，保障合理用水需求和水资源的可持续利用，为经济社会发展提供水安全保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18E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人秘股、规划与建设管理股、水旱灾害防御股、水资源管理与执法监督股。</w:t>
      </w:r>
    </w:p>
    <w:p w14:paraId="400D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人秘股：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办理机关日常工作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内部规章制度并监督实施。承办水务系统党务、政务、文秘、信访、信息、档案、保密、统计、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群团组织、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重大会议组织、宣传、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党风廉政、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意识形态</w:t>
      </w:r>
      <w:r>
        <w:rPr>
          <w:rFonts w:hint="eastAsia" w:ascii="仿宋_GB2312" w:hAnsi="仿宋_GB2312" w:eastAsia="仿宋_GB2312" w:cs="仿宋_GB2312"/>
          <w:sz w:val="32"/>
          <w:szCs w:val="32"/>
        </w:rPr>
        <w:t>、专业技术职务评聘、技术工人等级考核、劳动工资工作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，制定各项资金的使用和管理办法，监督检查各项水务资金的使用情况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办理财政国库直接支付、原始凭证审核、项目账务等业务，编制上报财务报表、年终决算等方面财务工作。负责机关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等工作。</w:t>
      </w:r>
    </w:p>
    <w:p w14:paraId="0ED57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规划与建设管理股：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组织编制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重大水利综合规划、专业规划和专项规划，审核水利建设项目建议书、可行性研究报告和初步设计。组织指导有关防洪论证工作。指导水工程建设项目合规性审查工作。承担水利统计工作。指导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、农村饮水安全、城乡供水、牧区水利等水利工程的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工作。监督管理水利建设市场，监督国家、省市县水利法规、政策的贯彻落实。指导全县农田水利灌溉、节水灌溉、水利工程设施维修及水利改革工作。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审核及批复水利工程开工报告和施工计划，审查水利工程监理资质证件。指导城乡供水从水源到“水龙头”全流程、一体化管理工作。</w:t>
      </w:r>
    </w:p>
    <w:p w14:paraId="20B5F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水旱灾害防御股：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组织编制洪水干旱防治规划和防护标准并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实施。承担全县洪泛区、蓄滞洪区和防洪保护区洪水影响评价工作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编制全县重要河流、重要水工程和水库防御洪水方案和洪水运行调度方案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全县干旱防治规划及重要河流和重要水工程应急水量调度方案并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承担水情旱情预警工作。组织协调指导蓄滞洪区安全建设、管理和运用补偿工作，承担组织指导防御洪水应急抢险的技术支撑工作。</w:t>
      </w:r>
    </w:p>
    <w:p w14:paraId="51C9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水资源管理与执法监督股：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指导全县水资源统一管理、水量分配工作，监督实施最严格水资源管理制度落实；组织实施取水许可、水资源有偿使用制度及水权改革；指导河湖生态流量水量管理；组织编制并协调落实全县水资源保护规划；指导全县地下水开发利用、河湖开发及治理和保护工作；承办河道采砂及河道管理范围内建设项目许可等事项；承办节约用水有关事宜；组织开展水资源调查、评价有关工作，组织编制并发布水资源公报。参与编制水功能区划和指导入河排污口设置管理工作。负责宣传贯彻《中华人民共和国水法》等水领域相关法律法规；监督检查全县水利工程建设中相关法律、法规和规范标准执行情况；组织开展中央、省、市、县投资的水利工程建设项目的稽查工作；调查处理一般水利工程质量安全事故；依法保护全县范围内水资源、水域、水工程、防汛抗旱和水文监测等有关设施；组织实施水事活动执法检查工作，协助司法机关查处涉及水事活动的治安和刑事案件；指导检查乡（镇）水行政执法工作；推进水利系统法治建设、依法行政工作，开展水行政应诉、复议和赔偿等工作。</w:t>
      </w:r>
    </w:p>
    <w:p w14:paraId="5078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水务综合事务中心</w:t>
      </w:r>
      <w:r>
        <w:rPr>
          <w:rFonts w:hint="eastAsia" w:ascii="黑体" w:hAnsi="黑体" w:eastAsia="黑体" w:cs="黑体"/>
          <w:sz w:val="32"/>
          <w:szCs w:val="32"/>
        </w:rPr>
        <w:t>主要职责：</w:t>
      </w:r>
    </w:p>
    <w:p w14:paraId="7CF2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（一）贯彻执行《水法》《防洪法》《河道管理条例》等法律法规，承担全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水利信息、河湖、供水等业务管理工作。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（二）贯彻落实国家和省市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有关信息化建设的政策法规，承担全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水利信息化建设规划编制及实施工作，协调指导全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水利网络安全和信息化建设与管理工作。</w:t>
      </w:r>
    </w:p>
    <w:p w14:paraId="1E1AC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水务局机关电子政务内网的建设管理和运行保障，承担全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水利新闻宣传、政务公开、网络信访转办等工作。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（四）负责全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河湖长制日常工作，推进健全河湖长制管理制度和考核办法，受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级河湖长和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水务局委托，组织协调、调度督导、检查考核河湖长制工作任务落实。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级城乡供水日常管理工作，指导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相关业务。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（六）负责引进水利新技术新工艺，推广实施水利行业技术标准，指导规范城乡供水、农村安全饮水工作。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（七）承担全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水利工程管理体制改革、农村水利社会化服务体系建设相关技术服务工作。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（八）完成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水务局交办的其他任务。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934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一般公共预算收入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934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744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79.66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190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20.34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934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744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 xml:space="preserve">  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190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674.43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62.28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%，增长（减少）的主要原因是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个，主要是项目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山洪预警“户户知”工程运行维护费及防汛经费、项目2河（湖）长制工作经费、项目3华池县农村饮水安全集中供水工程运行管理费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项目4华池县农村饮水安全维修养护基金、项目5县城调水费用、项目6乡村水管员岗位补贴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62.28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188.99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196.73</w:t>
      </w:r>
      <w:r>
        <w:rPr>
          <w:rFonts w:hint="eastAsia" w:ascii="仿宋_GB2312" w:hAnsi="仿宋" w:eastAsia="仿宋_GB2312"/>
          <w:sz w:val="32"/>
          <w:szCs w:val="32"/>
        </w:rPr>
        <w:t>万元其中：办公用房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1248.8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123.43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7905B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AE6C9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0B7EEDD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年，未安排预算，部门/单位管理转移支付表为空表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FC3794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已报送公开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  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53FCEB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1DC61D4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华池县水务局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华池县水务局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华池县水务局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00040C1"/>
    <w:rsid w:val="113741D2"/>
    <w:rsid w:val="18330BA7"/>
    <w:rsid w:val="1D34261E"/>
    <w:rsid w:val="1F505BD4"/>
    <w:rsid w:val="42A05423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14</Pages>
  <Words>6218</Words>
  <Characters>6465</Characters>
  <Lines>68</Lines>
  <Paragraphs>19</Paragraphs>
  <TotalTime>17</TotalTime>
  <ScaleCrop>false</ScaleCrop>
  <LinksUpToDate>false</LinksUpToDate>
  <CharactersWithSpaces>6569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苗青</cp:lastModifiedBy>
  <cp:lastPrinted>2022-02-15T07:45:00Z</cp:lastPrinted>
  <dcterms:modified xsi:type="dcterms:W3CDTF">2025-02-07T05:51:01Z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64F6A0280BC245339AB9C58559D0520D_13</vt:lpwstr>
  </property>
  <property fmtid="{D5CDD505-2E9C-101B-9397-08002B2CF9AE}" pid="4" name="KSOTemplateDocerSaveRecord">
    <vt:lpwstr>eyJoZGlkIjoiNjBmMmJiYjhkNGVlNGU4MTc5ZTE3ZTNhNWZmMzM1MGEiLCJ1c2VySWQiOiI5NDU4MDE0ODIifQ==</vt:lpwstr>
  </property>
</Properties>
</file>