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华池县城壕初级中学</w:t>
      </w: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2025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年部门/单位预算公开情况说明 </w:t>
      </w: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一、部门/单位职责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华池县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城壕初级中学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属全额拨款事业单位，隶属于华池县教育局，主要职责是负责普及本辖区内及周边附近乡村适龄少年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初中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义务教育工作。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内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设机构3个处室（教务处、政教处、总务处），教务处主要负责学校全盘教学工作，教学安排、学情检测等；政教处主要负责学校的德育及学生管理工作；总务处主要负责教师学生餐饮、教学后勤保障等工作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（二）参照公务员法管理单位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无</w:t>
      </w:r>
    </w:p>
    <w:p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（三）直属事业单位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无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年部门（单位）收支包括机关预算和直属单位预算在内的汇总情况。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438.98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万元。按照综合预算的原则，部门（单位）所有收入和支出均纳入部门预算管理。收入包括：一般公共预算拨款收入；支出包括：教育支出、社会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保险基金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支出、卫生健康支出、住房保障支出。</w:t>
      </w:r>
    </w:p>
    <w:p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438.98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万元（详见部门/单位预算公开表1,2）。包括：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438.98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438.98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万元（详见部门/单位预算公开表3）。</w:t>
      </w:r>
      <w:r>
        <w:rPr>
          <w:rStyle w:val="20"/>
          <w:rFonts w:hint="default" w:hAnsi="仿宋"/>
        </w:rPr>
        <w:t>其中：基本支出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438.98</w:t>
      </w:r>
      <w:r>
        <w:rPr>
          <w:rStyle w:val="20"/>
          <w:rFonts w:hint="default" w:hAnsi="仿宋"/>
        </w:rPr>
        <w:t>万元， 占</w:t>
      </w:r>
      <w:r>
        <w:rPr>
          <w:rStyle w:val="20"/>
          <w:rFonts w:hint="eastAsia" w:hAnsi="仿宋" w:eastAsia="仿宋_GB2312"/>
          <w:lang w:val="en-US" w:eastAsia="zh-CN"/>
        </w:rPr>
        <w:t>100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Style w:val="21"/>
          <w:rFonts w:hint="eastAsia" w:ascii="仿宋_GB2312" w:hAnsi="仿宋" w:eastAsia="仿宋_GB2312"/>
          <w:lang w:eastAsia="zh-CN"/>
        </w:rPr>
        <w:t>2025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0"/>
          <w:rFonts w:hint="default" w:hAnsi="仿宋"/>
        </w:rPr>
        <w:t>年一般公共预算当年支出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438.98</w:t>
      </w:r>
      <w:r>
        <w:rPr>
          <w:rStyle w:val="20"/>
          <w:rFonts w:hint="default" w:hAnsi="仿宋"/>
        </w:rPr>
        <w:t>万元，包括：教育支出320.81万元、科学技术支出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万元、社会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保险基金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支出</w:t>
      </w:r>
      <w:r>
        <w:rPr>
          <w:rStyle w:val="21"/>
          <w:rFonts w:hint="eastAsia" w:ascii="仿宋_GB2312" w:hAnsi="仿宋" w:eastAsia="仿宋_GB2312"/>
          <w:lang w:val="en-US" w:eastAsia="zh-CN"/>
        </w:rPr>
        <w:t>65.94</w:t>
      </w:r>
      <w:r>
        <w:rPr>
          <w:rStyle w:val="20"/>
          <w:rFonts w:hint="default" w:hAnsi="仿宋"/>
        </w:rPr>
        <w:t>万元、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卫生健康支出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21.33</w:t>
      </w:r>
      <w:r>
        <w:rPr>
          <w:rStyle w:val="20"/>
          <w:rFonts w:hint="default" w:hAnsi="仿宋"/>
        </w:rPr>
        <w:t>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、住房保障支出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30.9万元</w:t>
      </w:r>
      <w:r>
        <w:rPr>
          <w:rStyle w:val="20"/>
          <w:rFonts w:hint="default" w:hAnsi="仿宋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>
      <w:pPr>
        <w:widowControl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438.98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9.35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1.95</w:t>
      </w:r>
      <w:r>
        <w:rPr>
          <w:rFonts w:hint="eastAsia" w:ascii="仿宋_GB2312" w:hAnsi="仿宋" w:eastAsia="仿宋_GB2312"/>
          <w:sz w:val="32"/>
          <w:szCs w:val="32"/>
        </w:rPr>
        <w:t>%，增长的主要原因是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工资普调导致工资福利支出预算增加。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426.03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万元，主要包括：基本工资、津贴补贴、奖金、绩效工资、机关事业单位基本养老保险缴费、职业年金缴费、职工基本医疗保险缴费、公务员医疗补助缴费、其他社会保障缴费、住房公积金。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12.95</w:t>
      </w:r>
      <w:r>
        <w:rPr>
          <w:rFonts w:hint="eastAsia" w:ascii="仿宋_GB2312" w:hAnsi="仿宋" w:eastAsia="仿宋_GB2312"/>
          <w:sz w:val="32"/>
          <w:szCs w:val="32"/>
        </w:rPr>
        <w:t>万元，主要包括：工会经费、福利费、其他商品和服务支出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年一般公共预算财政拨款项目支出预算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经济社会发展项目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保障运转经费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1.教育支出（ 类）普通教育（ 款） 初中教育（ 项）202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320.81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万元，比 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增加19.21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增长5.48%，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 xml:space="preserve"> 主要原因是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工资普调导致工资福利预算增大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2.社会保障和就业支出（ 类）行政事业单位养老支出（ 款）机关事业单位基本养老保险缴费支出、机关事业单位职业年金缴费支出（ 项）202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 xml:space="preserve"> 年预算数为65.94万元，比 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 xml:space="preserve"> 年预算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减少4.81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 xml:space="preserve">万元， 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下降6.8%，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主要原因是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人员减少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3.卫生健康支出（ 类）行政事业单位医疗（ 款）事业单位医疗（ 项）202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 xml:space="preserve"> 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21.33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万元，比 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 xml:space="preserve"> 年预算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减少2.12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下降9.04%，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 xml:space="preserve"> 主要原因是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人员减少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hAnsi="TimesNewRomanPS-BoldMT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4.住房保障支出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（ 类）住房改革支出（ 款）住房公积金（ 项）202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 xml:space="preserve"> 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33.83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万元，比 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 xml:space="preserve"> 年预算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减少2.93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下降8.66%，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 xml:space="preserve"> 主要原因是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人员减少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本单位无</w:t>
      </w:r>
      <w:r>
        <w:rPr>
          <w:rFonts w:hint="eastAsia" w:ascii="仿宋_GB2312" w:hAnsi="仿宋" w:eastAsia="仿宋_GB2312"/>
          <w:sz w:val="32"/>
          <w:szCs w:val="32"/>
        </w:rPr>
        <w:t>“三公”经费预算。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本单位无培训费预算。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本单位无会议费预算。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本单位无机关运行经费。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2024年，部门（单位）政府采购预算总额27.09万元，其中：政府采购货物预算27.09万元，政府采购工程预算0万元，政府采购服务预算0万元。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2024年，部门（单位）面向中小企业预留政府采购项目预算金额 0 万元，小微企业预留政府采购项目预算金额0万元。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1529.33</w:t>
      </w:r>
      <w:r>
        <w:rPr>
          <w:rFonts w:hint="eastAsia" w:ascii="仿宋_GB2312" w:hAnsi="仿宋" w:eastAsia="仿宋_GB2312"/>
          <w:sz w:val="32"/>
          <w:szCs w:val="32"/>
        </w:rPr>
        <w:t>万元。其中：办公用房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5177</w:t>
      </w:r>
      <w:r>
        <w:rPr>
          <w:rFonts w:hint="eastAsia" w:ascii="仿宋_GB2312" w:hAnsi="仿宋" w:eastAsia="仿宋_GB2312"/>
          <w:sz w:val="32"/>
          <w:szCs w:val="32"/>
        </w:rPr>
        <w:t>平方米，价值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1893.45</w:t>
      </w:r>
      <w:r>
        <w:rPr>
          <w:rFonts w:hint="eastAsia" w:ascii="仿宋_GB2312" w:hAnsi="仿宋" w:eastAsia="仿宋_GB2312"/>
          <w:sz w:val="32"/>
          <w:szCs w:val="32"/>
        </w:rPr>
        <w:t>万元。预算部门（单位）共有公务用车0辆，价值0万元。单价20万元以上的设备价值0万元。2024年拟采购固定资产约0万元。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未安排预算，政府性基金预算支出情况表为空表。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本单位年初预算未安排项目支出，无重点项目说明。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未安排预算，位管理转移支付表为空表。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整体支出和项目绩效目标   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年7月，组织开展1-6月绩效运行监控项目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个，占本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%。截至7月底，如期完成预算执行和绩效目标指标值的项目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%。“双监控”发现存在的问题和主要原因是：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。开展1-9月绩效运行监控项目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37</w:t>
      </w:r>
      <w:r>
        <w:rPr>
          <w:rFonts w:hint="eastAsia" w:ascii="仿宋_GB2312" w:hAnsi="仿宋" w:eastAsia="仿宋_GB2312"/>
          <w:sz w:val="32"/>
          <w:szCs w:val="32"/>
        </w:rPr>
        <w:t>个，占本部门（单位）项目的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%。截至10月底，如期完成预算执行和绩效目标指标值的项目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37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%。“双监控”发现存在的问题和主要原因是：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。绩效运行监控在部门内部通报整改情况：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37</w:t>
      </w:r>
      <w:r>
        <w:rPr>
          <w:rFonts w:hint="eastAsia" w:ascii="仿宋_GB2312" w:hAnsi="仿宋" w:eastAsia="仿宋_GB2312"/>
          <w:sz w:val="32"/>
          <w:szCs w:val="32"/>
        </w:rPr>
        <w:t>个，其中，部门（单位）整体支出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个，项目支出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36</w:t>
      </w:r>
      <w:r>
        <w:rPr>
          <w:rFonts w:hint="eastAsia" w:ascii="仿宋_GB2312" w:hAnsi="仿宋" w:eastAsia="仿宋_GB2312"/>
          <w:sz w:val="32"/>
          <w:szCs w:val="32"/>
        </w:rPr>
        <w:t>个，转移支付项目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%。绩效自评结果随部门决算报送财政和随决算公开情况：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及时公开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年，纳入部门/单位预算绩效目标管理的项目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个。其中，部门整体支出绩效目标围绕部门管理、履职效果、能力建设三个维度，设置二级指标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/>
          <w:sz w:val="32"/>
          <w:szCs w:val="32"/>
        </w:rPr>
        <w:t>个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各项绩效目标内容指向明确、细化量化、合理可行，符合规定的格式要求。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640" w:lineRule="exact"/>
        <w:ind w:right="112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华池县城壕初级中学</w:t>
      </w:r>
    </w:p>
    <w:p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02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09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华池县城壕初级中学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华池县城壕初级中学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kNDZjODc3MGE3NmFjMjM1YjRhNWYzMWJlNzI1ZTc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113741D2"/>
    <w:rsid w:val="18330BA7"/>
    <w:rsid w:val="1D34261E"/>
    <w:rsid w:val="292C5E45"/>
    <w:rsid w:val="3CC94AA6"/>
    <w:rsid w:val="42A05423"/>
    <w:rsid w:val="4C433C79"/>
    <w:rsid w:val="527E074E"/>
    <w:rsid w:val="56393C72"/>
    <w:rsid w:val="579503FF"/>
    <w:rsid w:val="60535296"/>
    <w:rsid w:val="696806BC"/>
    <w:rsid w:val="72FD2525"/>
    <w:rsid w:val="781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qFormat/>
    <w:uiPriority w:val="0"/>
    <w:rPr>
      <w:b/>
      <w:bCs/>
    </w:rPr>
  </w:style>
  <w:style w:type="character" w:styleId="10">
    <w:name w:val="line number"/>
    <w:qFormat/>
    <w:uiPriority w:val="0"/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页脚 Char"/>
    <w:link w:val="5"/>
    <w:qFormat/>
    <w:uiPriority w:val="0"/>
    <w:rPr>
      <w:sz w:val="18"/>
      <w:szCs w:val="18"/>
    </w:rPr>
  </w:style>
  <w:style w:type="character" w:customStyle="1" w:styleId="13">
    <w:name w:val="页眉 Char"/>
    <w:link w:val="6"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7"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11</Pages>
  <Words>3660</Words>
  <Characters>3951</Characters>
  <Lines>68</Lines>
  <Paragraphs>19</Paragraphs>
  <TotalTime>2</TotalTime>
  <ScaleCrop>false</ScaleCrop>
  <LinksUpToDate>false</LinksUpToDate>
  <CharactersWithSpaces>3998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Administrator</cp:lastModifiedBy>
  <cp:lastPrinted>2025-02-10T08:50:51Z</cp:lastPrinted>
  <dcterms:modified xsi:type="dcterms:W3CDTF">2025-02-10T08:51:33Z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BFF1DD3F354C4C9E88A4BC032A7BECE2_13</vt:lpwstr>
  </property>
  <property fmtid="{D5CDD505-2E9C-101B-9397-08002B2CF9AE}" pid="4" name="KSOTemplateDocerSaveRecord">
    <vt:lpwstr>eyJoZGlkIjoiZTZhNDg4NmY0ODJlNzg1YjVmNGJhODEwMzQ4YTljOTIifQ==</vt:lpwstr>
  </property>
</Properties>
</file>