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华池县委老干部服务管理所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部门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>
      <w:pPr>
        <w:shd w:val="clear" w:color="auto" w:fill="FFFFFF"/>
        <w:spacing w:line="60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县委、县政府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下达的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各项工作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任务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spacing w:line="600" w:lineRule="atLeast"/>
        <w:ind w:firstLine="600"/>
        <w:jc w:val="left"/>
        <w:rPr>
          <w:rFonts w:hint="eastAsia" w:ascii="仿宋" w:hAnsi="仿宋" w:eastAsia="仿宋" w:cs="仿宋"/>
          <w:spacing w:val="-12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全面落实老干部及遗属各项政治生活待遇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spacing w:line="600" w:lineRule="atLeast"/>
        <w:ind w:firstLine="600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做好老干部来信来访查处工作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spacing w:line="600" w:lineRule="atLeast"/>
        <w:ind w:firstLine="6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四）</w:t>
      </w: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</w:rPr>
        <w:t>向老干部通报全县经济、社会发展情况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；</w:t>
      </w:r>
    </w:p>
    <w:p>
      <w:pPr>
        <w:spacing w:line="520" w:lineRule="exact"/>
        <w:ind w:firstLine="630"/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</w:rPr>
        <w:t>强化老干部理论学习和政治思想工作</w:t>
      </w: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92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2"/>
          <w:sz w:val="32"/>
          <w:szCs w:val="32"/>
          <w:lang w:val="en-US" w:eastAsia="zh-CN"/>
        </w:rPr>
        <w:t xml:space="preserve"> （六）慰问老干部及遗属。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960" w:firstLineChars="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华池县委老干部服务管理所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9人，实有人数7人，临聘1人，离休1人，遗属15人。</w:t>
      </w:r>
    </w:p>
    <w:p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960" w:firstLineChars="3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华池县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委老干部服务管理所</w:t>
      </w:r>
      <w:r>
        <w:rPr>
          <w:rFonts w:hint="eastAsia" w:ascii="仿宋" w:hAnsi="仿宋" w:eastAsia="仿宋" w:cs="仿宋"/>
          <w:sz w:val="32"/>
          <w:szCs w:val="32"/>
        </w:rPr>
        <w:t>属财政全额拨款的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照公务员法管理的单位。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170.19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170.19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170.19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170.19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145.19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85.31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 xml:space="preserve">；项目支出 </w:t>
      </w:r>
      <w:r>
        <w:rPr>
          <w:rStyle w:val="21"/>
          <w:rFonts w:hint="eastAsia" w:ascii="仿宋_GB2312" w:hAnsi="仿宋" w:eastAsia="仿宋_GB2312"/>
          <w:lang w:val="en-US" w:eastAsia="zh-CN"/>
        </w:rPr>
        <w:t>25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14.69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170.19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153.73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val="en-US" w:eastAsia="zh-CN"/>
        </w:rPr>
        <w:t>卫生健康支出8.92万元、住房保障支出7.54万元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170.19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34.96</w:t>
      </w:r>
      <w:r>
        <w:rPr>
          <w:rFonts w:hint="eastAsia" w:ascii="仿宋_GB2312" w:hAnsi="仿宋" w:eastAsia="仿宋_GB2312"/>
          <w:sz w:val="32"/>
          <w:szCs w:val="32"/>
        </w:rPr>
        <w:t xml:space="preserve"> 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20.54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131.02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default" w:ascii="仿宋_GB2312" w:hAnsi="仿宋" w:eastAsia="仿宋_GB2312"/>
          <w:sz w:val="32"/>
          <w:szCs w:val="32"/>
          <w:lang w:val="en-US"/>
        </w:rPr>
        <w:t>32.55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" w:eastAsia="仿宋_GB2312"/>
          <w:sz w:val="32"/>
          <w:szCs w:val="32"/>
        </w:rPr>
        <w:t>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35.6万元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6.68万元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7.54万元、</w:t>
      </w:r>
      <w:r>
        <w:rPr>
          <w:rFonts w:hint="eastAsia" w:ascii="仿宋_GB2312" w:hAnsi="仿宋" w:eastAsia="仿宋_GB2312"/>
          <w:sz w:val="32"/>
          <w:szCs w:val="32"/>
        </w:rPr>
        <w:t>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15.95万元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8.92万元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1.21万元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对个人和家庭补助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22.57万元，主要包括</w:t>
      </w:r>
      <w:r>
        <w:rPr>
          <w:rFonts w:hint="eastAsia"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离休费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15.08万元、生活补助7.49万元。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14.17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、水费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0.05万元</w:t>
      </w:r>
      <w:r>
        <w:rPr>
          <w:rFonts w:hint="eastAsia" w:ascii="仿宋_GB2312" w:hAnsi="仿宋" w:eastAsia="仿宋_GB2312"/>
          <w:sz w:val="32"/>
          <w:szCs w:val="32"/>
        </w:rPr>
        <w:t>、电费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0.05万元</w:t>
      </w:r>
      <w:r>
        <w:rPr>
          <w:rFonts w:hint="eastAsia" w:ascii="仿宋_GB2312" w:hAnsi="仿宋" w:eastAsia="仿宋_GB2312"/>
          <w:sz w:val="32"/>
          <w:szCs w:val="32"/>
        </w:rPr>
        <w:t>、邮电费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0.9万元</w:t>
      </w:r>
      <w:r>
        <w:rPr>
          <w:rFonts w:hint="eastAsia" w:ascii="仿宋_GB2312" w:hAnsi="仿宋" w:eastAsia="仿宋_GB2312"/>
          <w:sz w:val="32"/>
          <w:szCs w:val="32"/>
        </w:rPr>
        <w:t>、取暖费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1.1万元</w:t>
      </w:r>
      <w:r>
        <w:rPr>
          <w:rFonts w:hint="eastAsia" w:ascii="仿宋_GB2312" w:hAnsi="仿宋" w:eastAsia="仿宋_GB2312"/>
          <w:sz w:val="32"/>
          <w:szCs w:val="32"/>
        </w:rPr>
        <w:t>、差旅费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1.2万元</w:t>
      </w:r>
      <w:r>
        <w:rPr>
          <w:rFonts w:hint="eastAsia" w:ascii="仿宋_GB2312" w:hAnsi="仿宋" w:eastAsia="仿宋_GB2312"/>
          <w:sz w:val="32"/>
          <w:szCs w:val="32"/>
        </w:rPr>
        <w:t>、工会经费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0.72万元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1.51万元</w:t>
      </w:r>
      <w:r>
        <w:rPr>
          <w:rFonts w:hint="eastAsia" w:ascii="仿宋_GB2312" w:hAnsi="仿宋" w:eastAsia="仿宋_GB2312"/>
          <w:sz w:val="32"/>
          <w:szCs w:val="32"/>
        </w:rPr>
        <w:t>、其他交通费用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2.4万元、</w:t>
      </w:r>
      <w:r>
        <w:rPr>
          <w:rFonts w:hint="eastAsia" w:ascii="仿宋_GB2312" w:hAnsi="仿宋" w:eastAsia="仿宋_GB2312"/>
          <w:sz w:val="32"/>
          <w:szCs w:val="32"/>
        </w:rPr>
        <w:t>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4.24万元。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保障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离退休干部公用经费和特需经费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组织离退休干部对重点项目和重点工作开展参观考察。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离休干部医药费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1个，。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32"/>
          <w:szCs w:val="32"/>
        </w:rPr>
        <w:t>单位一般公共预算财政拨款“三公”经费、培训费、会议费等情况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adjustRightInd w:val="0"/>
        <w:snapToGrid w:val="0"/>
        <w:spacing w:line="640" w:lineRule="exact"/>
        <w:ind w:firstLine="320" w:firstLineChars="1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7.53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38.18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人员减少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年，单位面向中小企业预留政府采购项目预算金额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77.49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332.12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43.28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无重点项目说明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>
      <w:pPr>
        <w:widowControl/>
        <w:numPr>
          <w:ilvl w:val="0"/>
          <w:numId w:val="0"/>
        </w:numPr>
        <w:wordWrap/>
        <w:adjustRightInd w:val="0"/>
        <w:snapToGrid w:val="0"/>
        <w:spacing w:line="600" w:lineRule="exact"/>
        <w:ind w:leftChars="200" w:right="0" w:rightChars="0" w:firstLine="320" w:firstLineChars="100"/>
        <w:contextualSpacing/>
        <w:jc w:val="lef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未安排预算，部门管理转移支付表为空表。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个，其中，单位整体支出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个，项目支出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个，转移支付项目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绩效自评结果随部门决算报送财政公开：按要求公开。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年度绩效运行监控、绩效自评等情况，2024年度增加部门预算项目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无增减变化。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widowControl/>
        <w:wordWrap/>
        <w:adjustRightInd w:val="0"/>
        <w:snapToGrid w:val="0"/>
        <w:spacing w:line="600" w:lineRule="exact"/>
        <w:ind w:left="0" w:leftChars="0" w:right="0" w:firstLine="640" w:firstLineChars="200"/>
        <w:contextualSpacing/>
        <w:jc w:val="left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年，纳入部门预算绩效目标管理的项目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华池县委老干部服务管理所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华池县委老干部服务管理所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华池县委老干部服务管理所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年整体支出绩效目标及预算项目绩效目标表</w:t>
      </w:r>
    </w:p>
    <w:p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DZjODc3MGE3NmFjMjM1YjRhNWYzMWJlNzI1ZTc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58A5317"/>
    <w:rsid w:val="100206BE"/>
    <w:rsid w:val="113741D2"/>
    <w:rsid w:val="14C41A27"/>
    <w:rsid w:val="18330BA7"/>
    <w:rsid w:val="1D34261E"/>
    <w:rsid w:val="2E36576E"/>
    <w:rsid w:val="42A05423"/>
    <w:rsid w:val="49BF24CF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3752</Words>
  <Characters>4011</Characters>
  <Lines>68</Lines>
  <Paragraphs>19</Paragraphs>
  <TotalTime>1</TotalTime>
  <ScaleCrop>false</ScaleCrop>
  <LinksUpToDate>false</LinksUpToDate>
  <CharactersWithSpaces>4048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2025-02-10T01:13:00Z</cp:lastPrinted>
  <dcterms:modified xsi:type="dcterms:W3CDTF">2025-02-10T03:00:46Z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03C4AF2D4896467A84CC06DF3F2D3FE4_13</vt:lpwstr>
  </property>
  <property fmtid="{D5CDD505-2E9C-101B-9397-08002B2CF9AE}" pid="4" name="KSOTemplateDocerSaveRecord">
    <vt:lpwstr>eyJoZGlkIjoiNDVhYWM2MGU3ZDRjZDA3MjA3NmIwM2M4YmY0YzlkMjgiLCJ1c2VySWQiOiIzNDEyNzAxNDkifQ==</vt:lpwstr>
  </property>
</Properties>
</file>