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43E12C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华池县永昌建设投资有限公司</w:t>
      </w:r>
    </w:p>
    <w:p w14:paraId="3F674FC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61AB765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4898D78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永昌建设投资有限公司经营范围：许可项目：建设工程施工（除核电站建设经营、民用机场建设）；河道采砂。（依法须经批准的项目，经相关部门批准后方可开展经营活动，具体经营项目以相关部门批准文件或许可证件为准)***一般项目:承接总公司工程建设业务:招投标代理服务;电动汽车充电基础设施运营，物业管理，停车场服务;建筑材料销售。《除依法须经批准的项目外，凭营业执照依法自主开展经营活动)**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EE9E8B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3351.39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3351.39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3351.39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3351.39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 xml:space="preserve">万元， 占 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3351.39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0"/>
          <w:rFonts w:hint="eastAsia" w:hAnsi="仿宋" w:eastAsia="仿宋_GB2312"/>
          <w:lang w:val="en-US" w:eastAsia="zh-CN"/>
        </w:rPr>
        <w:t>3351.39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万元、其他支出</w:t>
      </w:r>
      <w:r>
        <w:rPr>
          <w:rStyle w:val="20"/>
          <w:rFonts w:hint="eastAsia" w:hAnsi="仿宋" w:eastAsia="仿宋_GB2312"/>
          <w:lang w:val="en-US" w:eastAsia="zh-CN"/>
        </w:rPr>
        <w:t>3351.39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%，增长（下降）的主要原因是……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3351.39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减少767.47</w:t>
      </w:r>
      <w:r>
        <w:rPr>
          <w:rFonts w:hint="eastAsia" w:ascii="仿宋_GB2312" w:hAnsi="仿宋" w:eastAsia="仿宋_GB2312"/>
          <w:sz w:val="32"/>
          <w:szCs w:val="32"/>
        </w:rPr>
        <w:t xml:space="preserve"> 万元，减少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18.63</w:t>
      </w:r>
      <w:r>
        <w:rPr>
          <w:rFonts w:hint="eastAsia" w:ascii="仿宋_GB2312" w:hAnsi="仿宋" w:eastAsia="仿宋_GB2312"/>
          <w:sz w:val="32"/>
          <w:szCs w:val="32"/>
        </w:rPr>
        <w:t xml:space="preserve"> %，减少的主要原因是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2024年项目支出预算含项目贷款本金和利息，2025年项目支出预算只含项目贷款利息。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个，主要是项目1、项目2、项目3……。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个，主要是项目1、项目2、项目3……。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：债务还本付息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E181C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主要原因是……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2.……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2.公务接待费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%，增长（下降）的主要原因是……。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万元，增长（下降）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%，增长（下降）的主要原因是……。</w:t>
      </w:r>
    </w:p>
    <w:p w14:paraId="0C1AA7BE"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机关运行经费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%，增长（下降）的主要原因是……。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万元，政府采购服务预算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万元，小微企业预留政府采购项目预算金额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平方米，价值     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41FA06D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41CD261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FB37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部门/单位预算安排的经济社会发展类项目公开项目文本信息，包括项目名称、项目概况、立项依据、实施主体、实施周期、实施计划、年度预算安排、预期总体目标等内容。没有经济社会发展类项目支出的部门/单位可公开其他类项目。</w:t>
      </w:r>
    </w:p>
    <w:p w14:paraId="5E3B0E2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债务还本付息</w:t>
      </w:r>
    </w:p>
    <w:p w14:paraId="68537271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概况：华池县整体脱贫核心村精准扶贫整村推进乡村基础设施项目、庆阳市华池县2014-2017年棚户区改造项目(四期)、庆阳市华池县2018-2020年棚户区改造项目(一期)、华池县城集中供热工程项目、庆阳市华池县柔远体育馆项目、庆阳市华目申请池县职专实训基地建设项目、庆阳市棚户区改造项目(国开基金第一批)、庆阳市由及项棚户区改造项目(国开基金第二批)、华池一中整体搬迁项目、华池县中医医院整主要内|体搬迁改造项目、华池县2013-2015年易地扶贫搬迁项目、华池县南梁镇生活垃圾填埋场项目、庆阳市华池县2014-2017年棚户区改造项目(二期)等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归还</w:t>
      </w:r>
      <w:r>
        <w:rPr>
          <w:rFonts w:hint="eastAsia" w:ascii="仿宋_GB2312" w:hAnsi="仿宋" w:eastAsia="仿宋_GB2312"/>
          <w:sz w:val="32"/>
          <w:szCs w:val="32"/>
        </w:rPr>
        <w:t>贷款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本金及</w:t>
      </w:r>
      <w:r>
        <w:rPr>
          <w:rFonts w:hint="eastAsia" w:ascii="仿宋_GB2312" w:hAnsi="仿宋" w:eastAsia="仿宋_GB2312"/>
          <w:sz w:val="32"/>
          <w:szCs w:val="32"/>
        </w:rPr>
        <w:t>利息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67FC45E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left="0" w:leftChars="0"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立项依据：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需归还</w:t>
      </w:r>
      <w:r>
        <w:rPr>
          <w:rFonts w:hint="eastAsia" w:ascii="仿宋_GB2312" w:hAnsi="仿宋" w:eastAsia="仿宋_GB2312"/>
          <w:sz w:val="32"/>
          <w:szCs w:val="32"/>
        </w:rPr>
        <w:t>贷款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本金及</w:t>
      </w:r>
      <w:r>
        <w:rPr>
          <w:rFonts w:hint="eastAsia" w:ascii="仿宋_GB2312" w:hAnsi="仿宋" w:eastAsia="仿宋_GB2312"/>
          <w:sz w:val="32"/>
          <w:szCs w:val="32"/>
        </w:rPr>
        <w:t>利息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3551.39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CE36069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left="0" w:leftChars="0"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实施主体：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华池县永昌建设投资有限公司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。</w:t>
      </w:r>
    </w:p>
    <w:p w14:paraId="4DA99C7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一年。</w:t>
      </w:r>
    </w:p>
    <w:p w14:paraId="22C8495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按期归还</w:t>
      </w:r>
      <w:r>
        <w:rPr>
          <w:rFonts w:hint="eastAsia" w:ascii="仿宋_GB2312" w:hAnsi="仿宋" w:eastAsia="仿宋_GB2312"/>
          <w:sz w:val="32"/>
          <w:szCs w:val="32"/>
        </w:rPr>
        <w:t>贷款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本金及</w:t>
      </w:r>
      <w:r>
        <w:rPr>
          <w:rFonts w:hint="eastAsia" w:ascii="仿宋_GB2312" w:hAnsi="仿宋" w:eastAsia="仿宋_GB2312"/>
          <w:sz w:val="32"/>
          <w:szCs w:val="32"/>
        </w:rPr>
        <w:t>利息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DA88DC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6、年度预算安排：归还贷款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本金及</w:t>
      </w:r>
      <w:r>
        <w:rPr>
          <w:rFonts w:hint="eastAsia" w:ascii="仿宋_GB2312" w:hAnsi="仿宋" w:eastAsia="仿宋_GB2312"/>
          <w:sz w:val="32"/>
          <w:szCs w:val="32"/>
        </w:rPr>
        <w:t>利息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3551.39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8DBB99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华池县整体脱贫核心村精准扶贫整村推进乡村基础设施项目、庆阳市华池县2014-2017年棚户区改造项目（四期）、庆阳市华池县2018-2020年棚户区改造项目（一期）、华池县城集中供热工程项目、庆阳市华池县柔远体育馆项目、庆阳市华池县职专实训基地建设项目、庆阳市棚户区改造项目（国开基金第一批）、庆阳市棚户区改造项目（国开基金第二批）、华池一中整体搬迁项目、华池县中医医院整体搬迁改造项目、华池县2013-2015年易地扶贫搬迁项目、华池县南梁镇生活垃圾填埋场项目、庆阳市华池县2014-2017年棚户区改造项目（二期）等13个项目贷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本金及</w:t>
      </w:r>
      <w:r>
        <w:rPr>
          <w:rFonts w:hint="eastAsia" w:ascii="仿宋_GB2312" w:hAnsi="仿宋" w:eastAsia="仿宋_GB2312"/>
          <w:sz w:val="32"/>
          <w:szCs w:val="32"/>
        </w:rPr>
        <w:t>利息。</w:t>
      </w:r>
      <w:bookmarkStart w:id="0" w:name="_GoBack"/>
      <w:bookmarkEnd w:id="0"/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3A3E04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649FBA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%。“双监控”发现存在的问题和主要原因是：……(需自行完善编辑)。开展1-9月绩效运行监控项目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%。“双监控”发现存在的问题和主要原因是：……。绩效运行监控在部门内部通报整改情况：……(需自行完善编辑)。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%。绩效自评结果随部门决算报送财政和随决算公开情况：┄┄(需自行完善编辑)。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   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  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 xml:space="preserve"> 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C97205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华池县永昌建设投资有限公司</w:t>
      </w:r>
    </w:p>
    <w:p w14:paraId="300BDEAB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3EC0C412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18420046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1.华池县永昌建设投资有限公司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7E7F136B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华池县永昌建设投资有限公司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54E05FF">
      <w:pPr>
        <w:tabs>
          <w:tab w:val="left" w:pos="1272"/>
        </w:tabs>
      </w:pP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B72B3"/>
    <w:multiLevelType w:val="singleLevel"/>
    <w:tmpl w:val="3EAB72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E6E0CB4"/>
    <w:rsid w:val="113741D2"/>
    <w:rsid w:val="18330BA7"/>
    <w:rsid w:val="1D34261E"/>
    <w:rsid w:val="23BC0B68"/>
    <w:rsid w:val="38C638C8"/>
    <w:rsid w:val="42A05423"/>
    <w:rsid w:val="4C433C79"/>
    <w:rsid w:val="527E074E"/>
    <w:rsid w:val="56393C72"/>
    <w:rsid w:val="579503FF"/>
    <w:rsid w:val="60535296"/>
    <w:rsid w:val="72FD2525"/>
    <w:rsid w:val="78106856"/>
    <w:rsid w:val="7BC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4957</Words>
  <Characters>5264</Characters>
  <Lines>68</Lines>
  <Paragraphs>19</Paragraphs>
  <TotalTime>24</TotalTime>
  <ScaleCrop>false</ScaleCrop>
  <LinksUpToDate>false</LinksUpToDate>
  <CharactersWithSpaces>5341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企业用户_610365749</cp:lastModifiedBy>
  <cp:lastPrinted>2025-02-08T01:47:00Z</cp:lastPrinted>
  <dcterms:modified xsi:type="dcterms:W3CDTF">2025-02-08T02:43:44Z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eyJoZGlkIjoiNzI0MjQ0MmJjM2VjOWZmMzg2M2E3MGQ5ZmFjMTE4ZTIiLCJ1c2VySWQiOiIxNTgwMzIxNjQxIn0=</vt:lpwstr>
  </property>
</Properties>
</file>