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600" w:lineRule="exact"/>
        <w:jc w:val="both"/>
        <w:textAlignment w:val="auto"/>
        <w:rPr>
          <w:rFonts w:hint="eastAsia" w:asciiTheme="minorEastAsia" w:hAnsiTheme="minorEastAsia"/>
          <w:b/>
          <w:sz w:val="44"/>
          <w:szCs w:val="44"/>
          <w:lang w:val="en-US" w:eastAsia="zh-CN"/>
        </w:rPr>
      </w:pPr>
    </w:p>
    <w:p>
      <w:pPr>
        <w:keepNext w:val="0"/>
        <w:keepLines w:val="0"/>
        <w:pageBreakBefore w:val="0"/>
        <w:kinsoku/>
        <w:wordWrap/>
        <w:overflowPunct/>
        <w:topLinePunct w:val="0"/>
        <w:autoSpaceDE/>
        <w:autoSpaceDN/>
        <w:bidi w:val="0"/>
        <w:adjustRightInd/>
        <w:spacing w:line="600" w:lineRule="exact"/>
        <w:jc w:val="center"/>
        <w:textAlignment w:val="auto"/>
        <w:rPr>
          <w:rFonts w:hint="default"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华池县退役军人事务局</w:t>
      </w:r>
    </w:p>
    <w:p>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23</w:t>
      </w:r>
      <w:r>
        <w:rPr>
          <w:rFonts w:hint="eastAsia" w:ascii="方正小标宋简体" w:hAnsi="方正小标宋简体" w:eastAsia="方正小标宋简体" w:cs="方正小标宋简体"/>
          <w:b w:val="0"/>
          <w:bCs/>
          <w:sz w:val="44"/>
          <w:szCs w:val="44"/>
        </w:rPr>
        <w:t>年部门整体支出绩效自评报告</w:t>
      </w:r>
    </w:p>
    <w:p>
      <w:pPr>
        <w:keepNext w:val="0"/>
        <w:keepLines w:val="0"/>
        <w:pageBreakBefore w:val="0"/>
        <w:kinsoku/>
        <w:wordWrap/>
        <w:overflowPunct/>
        <w:topLinePunct w:val="0"/>
        <w:autoSpaceDE/>
        <w:autoSpaceDN/>
        <w:bidi w:val="0"/>
        <w:adjustRightInd/>
        <w:spacing w:line="600" w:lineRule="exact"/>
        <w:ind w:left="0" w:leftChars="0" w:firstLine="883" w:firstLineChars="200"/>
        <w:jc w:val="left"/>
        <w:textAlignment w:val="auto"/>
        <w:rPr>
          <w:rFonts w:asciiTheme="minorEastAsia" w:hAnsiTheme="minorEastAsia"/>
          <w:b/>
          <w:sz w:val="44"/>
          <w:szCs w:val="44"/>
        </w:rPr>
      </w:pP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为进一步规范财政资金管理，牢固树立预算绩效理念，强化部门支出责任，提高财政资金使用效益，根据</w:t>
      </w:r>
      <w:r>
        <w:rPr>
          <w:rFonts w:hint="eastAsia" w:ascii="仿宋_GB2312" w:hAnsi="仿宋_GB2312" w:eastAsia="仿宋_GB2312" w:cs="仿宋_GB2312"/>
          <w:sz w:val="32"/>
          <w:szCs w:val="32"/>
          <w:lang w:val="en-US" w:eastAsia="zh-CN"/>
        </w:rPr>
        <w:t>上级部门</w:t>
      </w:r>
      <w:r>
        <w:rPr>
          <w:rFonts w:hint="eastAsia" w:ascii="仿宋_GB2312" w:hAnsi="仿宋_GB2312" w:eastAsia="仿宋_GB2312" w:cs="仿宋_GB2312"/>
          <w:sz w:val="32"/>
          <w:szCs w:val="32"/>
        </w:rPr>
        <w:t>的要求，</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高度重视，积极安排部署，对20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bookmarkStart w:id="0" w:name="_GoBack"/>
      <w:bookmarkEnd w:id="0"/>
      <w:r>
        <w:rPr>
          <w:rFonts w:hint="eastAsia" w:ascii="仿宋_GB2312" w:hAnsi="仿宋_GB2312" w:eastAsia="仿宋_GB2312" w:cs="仿宋_GB2312"/>
          <w:sz w:val="32"/>
          <w:szCs w:val="32"/>
        </w:rPr>
        <w:t>度部门整体支出绩效进行了自评。现将具体情况报告如下：</w:t>
      </w:r>
    </w:p>
    <w:p>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color w:val="000000"/>
          <w:sz w:val="32"/>
          <w:szCs w:val="32"/>
          <w:shd w:val="clear" w:color="auto" w:fill="FFFFFF"/>
        </w:rPr>
      </w:pPr>
      <w:r>
        <w:rPr>
          <w:rFonts w:hint="eastAsia" w:ascii="黑体" w:hAnsi="黑体" w:eastAsia="黑体" w:cs="黑体"/>
          <w:b/>
          <w:color w:val="000000"/>
          <w:sz w:val="32"/>
          <w:szCs w:val="32"/>
          <w:shd w:val="clear" w:color="auto" w:fill="FFFFFF"/>
        </w:rPr>
        <w:t>一、部门概况</w:t>
      </w:r>
    </w:p>
    <w:p>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楷体_GB2312" w:hAnsi="楷体_GB2312" w:eastAsia="楷体_GB2312" w:cs="楷体_GB2312"/>
          <w:b/>
          <w:color w:val="000000"/>
          <w:sz w:val="32"/>
          <w:szCs w:val="32"/>
          <w:shd w:val="clear" w:color="auto" w:fill="FFFFFF"/>
        </w:rPr>
      </w:pPr>
      <w:r>
        <w:rPr>
          <w:rFonts w:hint="eastAsia" w:ascii="楷体_GB2312" w:hAnsi="楷体_GB2312" w:eastAsia="楷体_GB2312" w:cs="楷体_GB2312"/>
          <w:b/>
          <w:color w:val="000000"/>
          <w:sz w:val="32"/>
          <w:szCs w:val="32"/>
          <w:shd w:val="clear" w:color="auto" w:fill="FFFFFF"/>
        </w:rPr>
        <w:t>（一）主要职能、机构设置、人员及资产情况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w:t>
      </w:r>
      <w:r>
        <w:rPr>
          <w:rFonts w:hint="eastAsia" w:ascii="仿宋_GB2312" w:hAnsi="仿宋_GB2312" w:eastAsia="仿宋_GB2312" w:cs="仿宋_GB2312"/>
          <w:sz w:val="32"/>
          <w:szCs w:val="32"/>
          <w:lang w:val="en-US" w:eastAsia="zh-CN"/>
        </w:rPr>
        <w:t>县退役军人事务局</w:t>
      </w:r>
      <w:r>
        <w:rPr>
          <w:rFonts w:hint="eastAsia" w:ascii="仿宋_GB2312" w:hAnsi="仿宋_GB2312" w:eastAsia="仿宋_GB2312" w:cs="仿宋_GB2312"/>
          <w:sz w:val="32"/>
          <w:szCs w:val="32"/>
        </w:rPr>
        <w:t>为一级预算单位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主要职责是:</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1</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贯彻落实党中央关于退役军人思想政治、管理保障和安置优抚等工作的政策法规，褒扬彰显退役军人为党、国家和人民牺牲奉献的精神风范和价值导向；</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负责军队转业干部、复员干部、离休退休干部、退役士兵、无军籍退休退职职工的移交安置工作和自主择业、就业退役军人服务管理工作；</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3</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指导并组织开展退役军人教育培训工作，协调扶持退役军人和随军随调家属就业创业；</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会同有关部门制定贯彻落实退役军人特殊保障政策的具体措施并组织实施；</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组织协调落实退役军人医疗保障、社会保险等保障工作；</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指导并组织开展伤病残退役军人服务管理和抚恤工作，制定有关退役军人医疗、疗养、养老等机构的规划政策并组织实施，承担不适宜继续服役的伤病残军人相关工作；</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7</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指导并组织开展全县拥军优属工作。负责现役军人、退役军人、军队文职人员和军属优待、抚恤等工作，落实国民党抗战老兵等有关人员优待政策；</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8</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负责烈士退役军人荣誉奖励、军人公墓管理维护、纪念活动等工作，依法承担英雄烈士保护相关工作，审核拟列入全县重点保护单位的烈士纪念建筑物名录，总结表彰和宣扬退役军人工作单位和个人先进典型事迹；</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9</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指导并监督检查退役军人相关法律法规和政策措施的落实，组织开展退役军人权益维护和有关人员的帮扶援助工作；</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10</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完成县委、县政府及上级业务部门交办的其他事项；</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11</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职能转变。县退役军人事务局应加强退役军人思想政治工作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pPr>
        <w:keepNext w:val="0"/>
        <w:keepLines w:val="0"/>
        <w:pageBreakBefore w:val="0"/>
        <w:kinsoku/>
        <w:wordWrap/>
        <w:overflowPunct/>
        <w:topLinePunct w:val="0"/>
        <w:autoSpaceDE/>
        <w:autoSpaceDN/>
        <w:bidi w:val="0"/>
        <w:adjustRightInd/>
        <w:spacing w:line="600" w:lineRule="exact"/>
        <w:ind w:left="0" w:leftChars="0" w:firstLine="640"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_GB2312" w:eastAsia="仿宋_GB2312" w:cs="仿宋_GB2312"/>
          <w:sz w:val="32"/>
          <w:szCs w:val="32"/>
        </w:rPr>
        <w:t>2．机构设置。</w:t>
      </w:r>
      <w:r>
        <w:rPr>
          <w:rFonts w:hint="eastAsia" w:ascii="仿宋_GB2312" w:hAnsi="仿宋" w:eastAsia="仿宋_GB2312" w:cs="宋体"/>
          <w:kern w:val="0"/>
          <w:sz w:val="32"/>
          <w:szCs w:val="32"/>
        </w:rPr>
        <w:t>根据其职责，华池县退役军人事务局内设3个股室。</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综合股:负责局机关及服务中心日常运转。承担信息、保密、机要、统计、档案、政务公开、文稿起草、督察督办等工作。做好局机关和直属单位的干部人事、机构编制、职称评审、退休干部、平时考核、表彰奖励、干部教育培训、干部和人才队伍建设等工作。承担本部门机关党的建设、党风廉政建设、意识形态工作，指导做好退役军人党建、工会、共青团、妇联等群团组织工作。负责制定全县退役军人事业发展规划、年度计划，承办指导和监督退役军人事业各类资金的管理和发放工作，承担机关及直属单位财务、资产管理、内部审计，承担退役军人事业各类资金的管理和发放工作和退役军人事务系统信息化建设等工作；</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拥军优抚和褒扬纪念股:承担指导全县拥军优属工作，指导做好地方支持军队相关工作，承担现役军人、退役军人、军队文职人员和军属优待、抚恤等工作，承担不适宜继续服役的伤病残军人相关工作，组织协调落实退役军人医疗保障工作，负责退役军人伤残评定申报工作，指导落实有关退役军人医疗、养老等优抚保障机构的规划政策，落实国民党抗战老兵等有关人员优待政策。承担烈士褒扬、纪念设施管理保护工作，依法承担英雄烈士保护相关工作，拟定军人公墓建设规划、管理维护并指导实施，承担烈士评定材料审核上报事项，指导开展英雄烈士纪念活动，联系县退役军人事务局、烈士陵园并指导开展相关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 w:eastAsia="仿宋_GB2312" w:cs="宋体"/>
          <w:kern w:val="0"/>
          <w:sz w:val="32"/>
          <w:szCs w:val="32"/>
        </w:rPr>
        <w:t>（3）安置就业和权益维护股:组织落实军队转业干部、复员干部、离休退休干部、退役士兵和无军籍退休退职职工的移交安置和自主择业、就业退役军人管理工作，落实分配我县的军队转业干部、符合条件的退役士兵年度安置计划。拟定自主择业军队转业干部、复员干部、自主就业退役士兵就业创业年度计划并组织实施，组织开展就业创业教育培训等工作，指导开展有关中介服务等工作，组织协调落实退役军人社会保险等待遇保障工作，协调指导随军随调家属就业创业工作。承担退役军人政策研究工作，负责法制宣传教育培训工作。承担图役军人思想政治、舆论宣传、总结表彰、荣誉奖励和信访维稳，监督检查退役军人相关法律法规和政策措施的落实情况，承担退役军人权益维护和有关人员的帮扶援助工作；</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年初在职人员</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lang w:eastAsia="zh-CN"/>
        </w:rPr>
        <w:t>人，202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年末在职人员</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（二）履职总体目标、工作任务</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0" w:firstLineChars="200"/>
        <w:textAlignment w:val="auto"/>
        <w:rPr>
          <w:rFonts w:hint="eastAsia"/>
        </w:rPr>
      </w:pPr>
      <w:r>
        <w:rPr>
          <w:rFonts w:hint="eastAsia" w:eastAsia="仿宋_GB2312" w:cs="仿宋_GB2312"/>
          <w:i w:val="0"/>
          <w:iCs w:val="0"/>
          <w:caps w:val="0"/>
          <w:color w:val="auto"/>
          <w:spacing w:val="0"/>
          <w:sz w:val="32"/>
          <w:szCs w:val="32"/>
          <w:shd w:val="clear" w:color="auto" w:fill="FFFFFF"/>
          <w:vertAlign w:val="baseline"/>
          <w:lang w:val="en-US" w:eastAsia="zh-CN"/>
        </w:rPr>
        <w:t>1、总目标：</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紧紧围绕新时代退役军人工作目标，以全面落实《中华人民共和国退役军人保障法》和《关于加强新时代退役军人工作的意见》为统揽，不断健全完善</w:t>
      </w:r>
      <w:r>
        <w:rPr>
          <w:rFonts w:hint="eastAsia" w:eastAsia="仿宋_GB2312" w:cs="仿宋_GB2312"/>
          <w:i w:val="0"/>
          <w:iCs w:val="0"/>
          <w:caps w:val="0"/>
          <w:color w:val="auto"/>
          <w:spacing w:val="0"/>
          <w:sz w:val="32"/>
          <w:szCs w:val="32"/>
          <w:shd w:val="clear" w:color="auto" w:fill="FFFFFF"/>
          <w:vertAlign w:val="baseline"/>
          <w:lang w:val="en-US" w:eastAsia="zh-CN"/>
        </w:rPr>
        <w:t>全县退役军人事务</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组织管理、工作运行、政策制度“三大体系”，</w:t>
      </w:r>
      <w:r>
        <w:rPr>
          <w:rFonts w:hint="eastAsia" w:eastAsia="仿宋_GB2312" w:cs="仿宋_GB2312"/>
          <w:i w:val="0"/>
          <w:iCs w:val="0"/>
          <w:caps w:val="0"/>
          <w:color w:val="auto"/>
          <w:spacing w:val="0"/>
          <w:sz w:val="32"/>
          <w:szCs w:val="32"/>
          <w:shd w:val="clear" w:color="auto" w:fill="FFFFFF"/>
          <w:vertAlign w:val="baseline"/>
          <w:lang w:val="en-US" w:eastAsia="zh-CN"/>
        </w:rPr>
        <w:t>着力完善退役军人服务保障制度，切实维护退役军人合法权益，全面落实各项优抚安置政策，提高退役军人就业和安置质量，创新发展英烈褒扬纪念工作</w:t>
      </w:r>
      <w:r>
        <w:rPr>
          <w:rFonts w:hint="eastAsia" w:eastAsia="仿宋_GB2312" w:cs="仿宋_GB2312"/>
          <w:i w:val="0"/>
          <w:iCs w:val="0"/>
          <w:caps w:val="0"/>
          <w:color w:val="auto"/>
          <w:spacing w:val="0"/>
          <w:sz w:val="32"/>
          <w:szCs w:val="32"/>
          <w:highlight w:val="none"/>
          <w:shd w:val="clear" w:color="auto" w:fill="FFFFFF"/>
          <w:vertAlign w:val="baseline"/>
          <w:lang w:val="en-US" w:eastAsia="zh-CN"/>
        </w:rPr>
        <w:t>，全力争创全国双拥模范县，</w:t>
      </w:r>
      <w:r>
        <w:rPr>
          <w:rFonts w:hint="eastAsia" w:ascii="仿宋_GB2312" w:hAnsi="仿宋_GB2312" w:eastAsia="仿宋_GB2312" w:cs="仿宋_GB2312"/>
          <w:sz w:val="32"/>
          <w:szCs w:val="32"/>
          <w:highlight w:val="none"/>
          <w:lang w:val="en-US" w:eastAsia="zh-CN"/>
        </w:rPr>
        <w:t>充分发挥双拥工作独特优势和退役军人优势作用，不断提升地方拥军支前能力，助推华池经济社会高质量发展</w:t>
      </w:r>
      <w:r>
        <w:rPr>
          <w:rFonts w:hint="eastAsia" w:eastAsia="仿宋_GB2312" w:cs="仿宋_GB2312"/>
          <w:i w:val="0"/>
          <w:iCs w:val="0"/>
          <w:caps w:val="0"/>
          <w:color w:val="auto"/>
          <w:spacing w:val="0"/>
          <w:sz w:val="32"/>
          <w:szCs w:val="32"/>
          <w:highlight w:val="none"/>
          <w:shd w:val="clear" w:color="auto" w:fill="FFFFFF"/>
          <w:vertAlign w:val="baseline"/>
          <w:lang w:val="en-US" w:eastAsia="zh-CN"/>
        </w:rPr>
        <w:t>。</w:t>
      </w:r>
    </w:p>
    <w:p>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（三）整体支出绩效目标</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default" w:ascii="Times New Roman" w:hAnsi="Times New Roman" w:eastAsia="仿宋_GB2312" w:cs="仿宋_GB2312"/>
          <w:i w:val="0"/>
          <w:iCs w:val="0"/>
          <w:caps w:val="0"/>
          <w:color w:val="auto"/>
          <w:spacing w:val="0"/>
          <w:sz w:val="32"/>
          <w:szCs w:val="32"/>
          <w:shd w:val="clear" w:color="auto" w:fill="FFFFFF"/>
          <w:vertAlign w:val="baseline"/>
          <w:lang w:val="en-US" w:eastAsia="zh-CN"/>
        </w:rPr>
      </w:pPr>
      <w:r>
        <w:rPr>
          <w:rFonts w:hint="eastAsia" w:ascii="楷体_GB2312" w:hAnsi="楷体_GB2312" w:eastAsia="楷体_GB2312" w:cs="楷体_GB2312"/>
          <w:b/>
          <w:bCs/>
          <w:i w:val="0"/>
          <w:iCs w:val="0"/>
          <w:caps w:val="0"/>
          <w:color w:val="auto"/>
          <w:spacing w:val="0"/>
          <w:sz w:val="32"/>
          <w:szCs w:val="32"/>
          <w:shd w:val="clear" w:color="auto" w:fill="FFFFFF"/>
          <w:vertAlign w:val="baseline"/>
          <w:lang w:val="en-US" w:eastAsia="zh-CN"/>
        </w:rPr>
        <w:t>1.全面加强思想政治工作。</w:t>
      </w:r>
      <w:r>
        <w:rPr>
          <w:rFonts w:hint="eastAsia" w:eastAsia="仿宋_GB2312" w:cs="仿宋_GB2312"/>
          <w:i w:val="0"/>
          <w:iCs w:val="0"/>
          <w:caps w:val="0"/>
          <w:color w:val="auto"/>
          <w:spacing w:val="0"/>
          <w:sz w:val="32"/>
          <w:szCs w:val="32"/>
          <w:shd w:val="clear" w:color="auto" w:fill="FFFFFF"/>
          <w:vertAlign w:val="baseline"/>
          <w:lang w:val="en-US" w:eastAsia="zh-CN"/>
        </w:rPr>
        <w:t>建立健全退役军人思想政治工作机制，充实</w:t>
      </w:r>
      <w:r>
        <w:rPr>
          <w:rFonts w:hint="default" w:ascii="Times New Roman" w:hAnsi="Times New Roman" w:eastAsia="仿宋_GB2312" w:cs="Times New Roman"/>
          <w:color w:val="auto"/>
          <w:sz w:val="32"/>
          <w:szCs w:val="32"/>
          <w:lang w:val="en-US" w:eastAsia="zh-CN"/>
        </w:rPr>
        <w:t>网评员队伍</w:t>
      </w:r>
      <w:r>
        <w:rPr>
          <w:rFonts w:hint="eastAsia" w:ascii="Times New Roman" w:hAnsi="Times New Roman" w:eastAsia="仿宋_GB2312" w:cs="Times New Roman"/>
          <w:color w:val="auto"/>
          <w:sz w:val="32"/>
          <w:szCs w:val="32"/>
          <w:lang w:val="en-US" w:eastAsia="zh-CN"/>
        </w:rPr>
        <w:t>，加强退役军人党员教育管理制度落实。挖掘培养退役军人“兵支书”、创业致富带头人等先进典型，积极推荐选拔模范退役军人、最美退役军人，充分利用电视台、广播、网络等加强先进典型事迹宣传。鼓励退役军人积极提供志愿服务，壮大“陇原先锋”华池县退役军人志愿服务队伍，形成社会服务退役军人、退役军人服务社会的良好局面，推动广大退役军人思想政治素质不断提高，充分发扬军队优良传统，积极参加乡村振兴、基层治理、生态建设、精神文明、国防教育、应急救援等领域，用实际行动展示退役不退志、退伍不褪色、建功新时代的良好精神风貌。</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eastAsia" w:eastAsia="仿宋_GB2312" w:cs="仿宋_GB2312"/>
          <w:i w:val="0"/>
          <w:iCs w:val="0"/>
          <w:caps w:val="0"/>
          <w:color w:val="auto"/>
          <w:spacing w:val="0"/>
          <w:sz w:val="32"/>
          <w:szCs w:val="32"/>
          <w:shd w:val="clear" w:color="auto" w:fill="FFFFFF"/>
          <w:vertAlign w:val="baseline"/>
          <w:lang w:val="en-US" w:eastAsia="zh-CN"/>
        </w:rPr>
      </w:pPr>
      <w:r>
        <w:rPr>
          <w:rFonts w:hint="eastAsia" w:ascii="楷体_GB2312" w:hAnsi="楷体_GB2312" w:eastAsia="楷体_GB2312" w:cs="楷体_GB2312"/>
          <w:b/>
          <w:bCs/>
          <w:i w:val="0"/>
          <w:iCs w:val="0"/>
          <w:caps w:val="0"/>
          <w:color w:val="auto"/>
          <w:spacing w:val="0"/>
          <w:sz w:val="32"/>
          <w:szCs w:val="32"/>
          <w:shd w:val="clear" w:color="auto" w:fill="FFFFFF"/>
          <w:vertAlign w:val="baseline"/>
          <w:lang w:val="en-US" w:eastAsia="zh-CN"/>
        </w:rPr>
        <w:t>2.健全完善政策法规体系。</w:t>
      </w:r>
      <w:r>
        <w:rPr>
          <w:rFonts w:hint="eastAsia" w:eastAsia="仿宋_GB2312" w:cs="仿宋_GB2312"/>
          <w:i w:val="0"/>
          <w:iCs w:val="0"/>
          <w:caps w:val="0"/>
          <w:color w:val="auto"/>
          <w:spacing w:val="0"/>
          <w:sz w:val="32"/>
          <w:szCs w:val="32"/>
          <w:shd w:val="clear" w:color="auto" w:fill="FFFFFF"/>
          <w:vertAlign w:val="baseline"/>
          <w:lang w:val="en-US" w:eastAsia="zh-CN"/>
        </w:rPr>
        <w:t>结合实际，建立完善与中央、省、市退役军人工作政策制度配套的政策制度体系，进一步强化在退役军人移交安置、就业创业和优待抚恤、医疗救助、褒扬纪念等方面的制度性保障，使退役军人工作有法可依、依法推进，确保安置就业质量更高、优待保障更有力、服务水平明显提升。</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eastAsia" w:eastAsia="仿宋_GB2312" w:cs="仿宋_GB2312"/>
          <w:i w:val="0"/>
          <w:iCs w:val="0"/>
          <w:caps w:val="0"/>
          <w:color w:val="auto"/>
          <w:spacing w:val="0"/>
          <w:sz w:val="32"/>
          <w:szCs w:val="32"/>
          <w:shd w:val="clear" w:color="auto" w:fill="FFFFFF"/>
          <w:vertAlign w:val="baseline"/>
          <w:lang w:val="en-US" w:eastAsia="zh-CN"/>
        </w:rPr>
      </w:pPr>
      <w:r>
        <w:rPr>
          <w:rFonts w:hint="eastAsia" w:ascii="楷体_GB2312" w:hAnsi="楷体_GB2312" w:eastAsia="楷体_GB2312" w:cs="楷体_GB2312"/>
          <w:b/>
          <w:bCs/>
          <w:i w:val="0"/>
          <w:iCs w:val="0"/>
          <w:caps w:val="0"/>
          <w:color w:val="auto"/>
          <w:spacing w:val="0"/>
          <w:sz w:val="32"/>
          <w:szCs w:val="32"/>
          <w:shd w:val="clear" w:color="auto" w:fill="FFFFFF"/>
          <w:vertAlign w:val="baseline"/>
          <w:lang w:val="en-US" w:eastAsia="zh-CN"/>
        </w:rPr>
        <w:t>3.全面落实移交安置政策</w:t>
      </w:r>
      <w:r>
        <w:rPr>
          <w:rFonts w:hint="eastAsia" w:eastAsia="仿宋_GB2312" w:cs="仿宋_GB2312"/>
          <w:i w:val="0"/>
          <w:iCs w:val="0"/>
          <w:caps w:val="0"/>
          <w:color w:val="auto"/>
          <w:spacing w:val="0"/>
          <w:sz w:val="32"/>
          <w:szCs w:val="32"/>
          <w:shd w:val="clear" w:color="auto" w:fill="FFFFFF"/>
          <w:vertAlign w:val="baseline"/>
          <w:lang w:val="en-US" w:eastAsia="zh-CN"/>
        </w:rPr>
        <w:t>。积极支持军队和国防建设，落实国家安置政策，全面完成省市下达的接收安置计划，确保转业军官和符合政府安排工作的退役士兵年度安置率达100%，并优先安置到有编制的机关、事业单位和国有企业。</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eastAsia" w:eastAsia="仿宋_GB2312" w:cs="仿宋_GB2312"/>
          <w:i w:val="0"/>
          <w:iCs w:val="0"/>
          <w:caps w:val="0"/>
          <w:color w:val="auto"/>
          <w:spacing w:val="0"/>
          <w:sz w:val="32"/>
          <w:szCs w:val="32"/>
          <w:shd w:val="clear" w:color="auto" w:fill="FFFFFF"/>
          <w:vertAlign w:val="baseline"/>
          <w:lang w:val="en-US" w:eastAsia="zh-CN"/>
        </w:rPr>
      </w:pPr>
      <w:r>
        <w:rPr>
          <w:rFonts w:hint="eastAsia" w:ascii="楷体_GB2312" w:hAnsi="楷体_GB2312" w:eastAsia="楷体_GB2312" w:cs="楷体_GB2312"/>
          <w:b/>
          <w:bCs/>
          <w:i w:val="0"/>
          <w:iCs w:val="0"/>
          <w:caps w:val="0"/>
          <w:color w:val="auto"/>
          <w:spacing w:val="0"/>
          <w:sz w:val="32"/>
          <w:szCs w:val="32"/>
          <w:shd w:val="clear" w:color="auto" w:fill="FFFFFF"/>
          <w:vertAlign w:val="baseline"/>
          <w:lang w:val="en-US" w:eastAsia="zh-CN"/>
        </w:rPr>
        <w:t>4.不断增强就业创业能力。</w:t>
      </w:r>
      <w:r>
        <w:rPr>
          <w:rFonts w:hint="eastAsia" w:eastAsia="仿宋_GB2312" w:cs="仿宋_GB2312"/>
          <w:i w:val="0"/>
          <w:iCs w:val="0"/>
          <w:caps w:val="0"/>
          <w:color w:val="auto"/>
          <w:spacing w:val="0"/>
          <w:sz w:val="32"/>
          <w:szCs w:val="32"/>
          <w:shd w:val="clear" w:color="auto" w:fill="FFFFFF"/>
          <w:vertAlign w:val="baseline"/>
          <w:lang w:val="en-US" w:eastAsia="zh-CN"/>
        </w:rPr>
        <w:t>持续优化退役军人教育技能培训，确保培训项目实用性，提升就业创业能力。广泛开展退役军人适应性培训，使当年退役自主就业退役士兵参训率达90%以上，</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教育培训参训率达90%以上，就业率达95%以上</w:t>
      </w:r>
      <w:r>
        <w:rPr>
          <w:rFonts w:hint="eastAsia" w:eastAsia="仿宋_GB2312" w:cs="仿宋_GB2312"/>
          <w:i w:val="0"/>
          <w:iCs w:val="0"/>
          <w:caps w:val="0"/>
          <w:color w:val="auto"/>
          <w:spacing w:val="0"/>
          <w:sz w:val="32"/>
          <w:szCs w:val="32"/>
          <w:shd w:val="clear" w:color="auto" w:fill="FFFFFF"/>
          <w:vertAlign w:val="baseline"/>
          <w:lang w:val="en-US" w:eastAsia="zh-CN"/>
        </w:rPr>
        <w:t>。</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pPr>
      <w:r>
        <w:rPr>
          <w:rFonts w:hint="eastAsia" w:ascii="楷体_GB2312" w:hAnsi="楷体_GB2312" w:eastAsia="楷体_GB2312" w:cs="楷体_GB2312"/>
          <w:b/>
          <w:bCs/>
          <w:i w:val="0"/>
          <w:iCs w:val="0"/>
          <w:caps w:val="0"/>
          <w:color w:val="auto"/>
          <w:spacing w:val="0"/>
          <w:sz w:val="32"/>
          <w:szCs w:val="32"/>
          <w:shd w:val="clear" w:color="auto" w:fill="FFFFFF"/>
          <w:vertAlign w:val="baseline"/>
          <w:lang w:val="en-US" w:eastAsia="zh-CN"/>
        </w:rPr>
        <w:t>5.切实保障维护合法权益。</w:t>
      </w:r>
      <w:r>
        <w:rPr>
          <w:rFonts w:hint="eastAsia" w:eastAsia="仿宋_GB2312" w:cs="仿宋_GB2312"/>
          <w:i w:val="0"/>
          <w:iCs w:val="0"/>
          <w:caps w:val="0"/>
          <w:color w:val="auto"/>
          <w:spacing w:val="0"/>
          <w:sz w:val="32"/>
          <w:szCs w:val="32"/>
          <w:shd w:val="clear" w:color="auto" w:fill="FFFFFF"/>
          <w:vertAlign w:val="baseline"/>
          <w:lang w:val="en-US" w:eastAsia="zh-CN"/>
        </w:rPr>
        <w:t>全面落实退役军人各项法规政策，做到普惠政策与公共服务充分共享，加大退役军人和其他优抚对象优待证配套优先优</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惠政策协调落实。</w:t>
      </w:r>
      <w:r>
        <w:rPr>
          <w:rFonts w:hint="eastAsia" w:eastAsia="仿宋_GB2312" w:cs="仿宋_GB2312"/>
          <w:i w:val="0"/>
          <w:iCs w:val="0"/>
          <w:caps w:val="0"/>
          <w:color w:val="auto"/>
          <w:spacing w:val="0"/>
          <w:sz w:val="32"/>
          <w:szCs w:val="32"/>
          <w:shd w:val="clear" w:color="auto" w:fill="FFFFFF"/>
          <w:vertAlign w:val="baseline"/>
          <w:lang w:val="en-US" w:eastAsia="zh-CN"/>
        </w:rPr>
        <w:t>持续强化县、乡退役军人法律服务站建设，</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畅通退役军人诉求表达渠道，健全权益维护和矛盾调处机制，切实做到诉求合理的问题解决到位，诉求不合理的思想疏导到位，生活困难的帮扶援助到位，行为违法的依法处理</w:t>
      </w:r>
      <w:r>
        <w:rPr>
          <w:rFonts w:hint="eastAsia" w:eastAsia="仿宋_GB2312" w:cs="仿宋_GB2312"/>
          <w:i w:val="0"/>
          <w:iCs w:val="0"/>
          <w:caps w:val="0"/>
          <w:color w:val="auto"/>
          <w:spacing w:val="0"/>
          <w:sz w:val="32"/>
          <w:szCs w:val="32"/>
          <w:shd w:val="clear" w:color="auto" w:fill="FFFFFF"/>
          <w:vertAlign w:val="baseline"/>
          <w:lang w:val="en-US" w:eastAsia="zh-CN"/>
        </w:rPr>
        <w:t>到位</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w:t>
      </w:r>
    </w:p>
    <w:p>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default" w:ascii="Times New Roman" w:hAnsi="Times New Roman" w:eastAsia="仿宋_GB2312" w:cs="仿宋_GB2312"/>
          <w:b w:val="0"/>
          <w:bCs w:val="0"/>
          <w:color w:val="auto"/>
          <w:kern w:val="2"/>
          <w:sz w:val="32"/>
          <w:szCs w:val="32"/>
          <w:lang w:val="en-US" w:eastAsia="zh-CN" w:bidi="ar-SA"/>
        </w:rPr>
      </w:pPr>
      <w:r>
        <w:rPr>
          <w:rFonts w:hint="eastAsia" w:ascii="楷体_GB2312" w:hAnsi="楷体_GB2312" w:eastAsia="楷体_GB2312" w:cs="楷体_GB2312"/>
          <w:b/>
          <w:bCs/>
          <w:i w:val="0"/>
          <w:iCs w:val="0"/>
          <w:caps w:val="0"/>
          <w:color w:val="auto"/>
          <w:spacing w:val="0"/>
          <w:sz w:val="32"/>
          <w:szCs w:val="32"/>
          <w:shd w:val="clear" w:color="auto" w:fill="FFFFFF"/>
          <w:vertAlign w:val="baseline"/>
          <w:lang w:val="en-US" w:eastAsia="zh-CN"/>
        </w:rPr>
        <w:t>6.精准落实抚恤优待政策。</w:t>
      </w:r>
      <w:r>
        <w:rPr>
          <w:rFonts w:hint="eastAsia" w:ascii="Times New Roman" w:hAnsi="Times New Roman" w:eastAsia="仿宋_GB2312" w:cs="仿宋_GB2312"/>
          <w:color w:val="auto"/>
          <w:sz w:val="32"/>
          <w:szCs w:val="32"/>
          <w:lang w:val="en-US" w:eastAsia="zh-CN"/>
        </w:rPr>
        <w:t>健全完善优抚补助自然增长机制和优抚对象数据常态核查机制，及时按照政策标准调整提高优抚对象抚恤补助金，认真做好退役军人和其他优抚对象信息采集及重点优抚对象核查确认工作，做到动态化、精准化管理，保证不漏一人，应享尽享。强化与财政部门的沟通联系，确保抚恤优待资</w:t>
      </w:r>
      <w:r>
        <w:rPr>
          <w:rFonts w:hint="eastAsia" w:ascii="Times New Roman" w:hAnsi="Times New Roman" w:eastAsia="仿宋_GB2312" w:cs="仿宋_GB2312"/>
          <w:b w:val="0"/>
          <w:bCs w:val="0"/>
          <w:color w:val="auto"/>
          <w:kern w:val="2"/>
          <w:sz w:val="32"/>
          <w:szCs w:val="32"/>
          <w:lang w:val="en-US" w:eastAsia="zh-CN" w:bidi="ar-SA"/>
        </w:rPr>
        <w:t>金及时拨付到位。</w:t>
      </w:r>
    </w:p>
    <w:p>
      <w:pPr>
        <w:keepNext w:val="0"/>
        <w:keepLines w:val="0"/>
        <w:pageBreakBefore w:val="0"/>
        <w:kinsoku/>
        <w:wordWrap/>
        <w:overflowPunct/>
        <w:topLinePunct w:val="0"/>
        <w:autoSpaceDE/>
        <w:autoSpaceDN/>
        <w:bidi w:val="0"/>
        <w:spacing w:line="600" w:lineRule="exact"/>
        <w:ind w:left="0" w:firstLine="643" w:firstLineChars="200"/>
        <w:rPr>
          <w:rFonts w:hint="eastAsia" w:ascii="Times New Roman" w:hAnsi="Times New Roman" w:eastAsia="仿宋_GB2312" w:cs="仿宋_GB2312"/>
          <w:b w:val="0"/>
          <w:bCs w:val="0"/>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7.深入推进褒扬纪念工作。</w:t>
      </w:r>
      <w:r>
        <w:rPr>
          <w:rFonts w:hint="eastAsia" w:ascii="Times New Roman" w:hAnsi="Times New Roman" w:eastAsia="仿宋_GB2312" w:cs="仿宋_GB2312"/>
          <w:b w:val="0"/>
          <w:bCs w:val="0"/>
          <w:color w:val="auto"/>
          <w:kern w:val="2"/>
          <w:sz w:val="32"/>
          <w:szCs w:val="32"/>
          <w:lang w:val="en-US" w:eastAsia="zh-CN" w:bidi="ar-SA"/>
        </w:rPr>
        <w:t>健全完善烈士纪念设施管护机制，切实提高褒扬纪念工作水平。组织开展清明祭扫、烈士纪念日公祭活动、重温入党誓词等追寻红色足迹、缅怀革命先烈活动，充分发挥烈士纪念设施弘扬英烈精神、赓续红色血脉的红色阵地作用，以英烈事迹和精神激励广大干部群众奋进新时代。</w:t>
      </w:r>
    </w:p>
    <w:p>
      <w:pPr>
        <w:pStyle w:val="4"/>
        <w:keepNext w:val="0"/>
        <w:keepLines w:val="0"/>
        <w:pageBreakBefore w:val="0"/>
        <w:kinsoku/>
        <w:wordWrap/>
        <w:overflowPunct/>
        <w:topLinePunct w:val="0"/>
        <w:autoSpaceDE/>
        <w:autoSpaceDN/>
        <w:bidi w:val="0"/>
        <w:spacing w:beforeLines="0" w:afterLines="0" w:line="600" w:lineRule="exact"/>
        <w:ind w:left="0" w:firstLine="643" w:firstLineChars="200"/>
        <w:jc w:val="both"/>
        <w:rPr>
          <w:rFonts w:hint="eastAsia" w:ascii="Times New Roman" w:hAnsi="Times New Roman" w:eastAsia="仿宋_GB2312" w:cs="仿宋_GB2312"/>
          <w:b w:val="0"/>
          <w:bCs w:val="0"/>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8.大力营造关爱尊崇氛围。</w:t>
      </w:r>
      <w:r>
        <w:rPr>
          <w:rFonts w:hint="eastAsia" w:ascii="Times New Roman" w:hAnsi="Times New Roman" w:eastAsia="仿宋_GB2312" w:cs="仿宋_GB2312"/>
          <w:b w:val="0"/>
          <w:bCs w:val="0"/>
          <w:color w:val="auto"/>
          <w:kern w:val="2"/>
          <w:sz w:val="32"/>
          <w:szCs w:val="32"/>
          <w:lang w:val="en-US" w:eastAsia="zh-CN" w:bidi="ar-SA"/>
        </w:rPr>
        <w:t>健全完善退役军人荣誉激励制度，壮大英烈讲解员志愿者服务队伍，讲好英烈事迹、弘扬英烈精神，常态化做好送喜报、悬挂光荣牌、走访慰问和帮扶援助等活动，动员社会力量积极参与，形成全社会关心关爱退役军人的良好局面。</w:t>
      </w:r>
    </w:p>
    <w:p>
      <w:pPr>
        <w:keepNext w:val="0"/>
        <w:keepLines w:val="0"/>
        <w:pageBreakBefore w:val="0"/>
        <w:kinsoku/>
        <w:wordWrap/>
        <w:overflowPunct/>
        <w:topLinePunct w:val="0"/>
        <w:autoSpaceDE/>
        <w:autoSpaceDN/>
        <w:bidi w:val="0"/>
        <w:spacing w:line="600" w:lineRule="exact"/>
        <w:ind w:left="0" w:firstLine="643" w:firstLineChars="200"/>
        <w:rPr>
          <w:rFonts w:hint="eastAsia" w:ascii="Times New Roman" w:hAnsi="Times New Roman" w:eastAsia="仿宋_GB2312" w:cs="仿宋_GB2312"/>
          <w:b w:val="0"/>
          <w:bCs w:val="0"/>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9.持续提升服务能力水平。</w:t>
      </w:r>
      <w:r>
        <w:rPr>
          <w:rFonts w:hint="eastAsia" w:ascii="Times New Roman" w:hAnsi="Times New Roman" w:eastAsia="仿宋_GB2312" w:cs="仿宋_GB2312"/>
          <w:b w:val="0"/>
          <w:bCs w:val="0"/>
          <w:color w:val="auto"/>
          <w:kern w:val="2"/>
          <w:sz w:val="32"/>
          <w:szCs w:val="32"/>
          <w:lang w:val="en-US" w:eastAsia="zh-CN" w:bidi="ar-SA"/>
        </w:rPr>
        <w:t>继续对照退役军人服务中心（站）“五有”建设标准和示范创建标准，优化服务体系综合实力、服务能力。</w:t>
      </w:r>
      <w:r>
        <w:rPr>
          <w:rFonts w:hint="eastAsia" w:ascii="Times New Roman" w:hAnsi="Times New Roman" w:eastAsia="仿宋" w:cs="仿宋"/>
          <w:color w:val="auto"/>
          <w:kern w:val="2"/>
          <w:sz w:val="32"/>
          <w:szCs w:val="32"/>
          <w:highlight w:val="none"/>
          <w:u w:val="none"/>
          <w:lang w:val="en-US" w:eastAsia="zh-CN" w:bidi="ar-SA"/>
        </w:rPr>
        <w:t>健全完善工作制度，</w:t>
      </w:r>
      <w:r>
        <w:rPr>
          <w:rFonts w:hint="eastAsia" w:ascii="Times New Roman" w:hAnsi="Times New Roman" w:eastAsia="仿宋_GB2312" w:cs="仿宋_GB2312"/>
          <w:b w:val="0"/>
          <w:bCs w:val="0"/>
          <w:color w:val="auto"/>
          <w:kern w:val="2"/>
          <w:sz w:val="32"/>
          <w:szCs w:val="32"/>
          <w:lang w:val="en-US" w:eastAsia="zh-CN" w:bidi="ar-SA"/>
        </w:rPr>
        <w:t>大幅提升服务规范化、精准化、专业化、信息化水平。常态化开展法规政策学习和“岗位练兵”活动，不断增强干部队伍能力素质，持续提升服务对象满意度。</w:t>
      </w:r>
    </w:p>
    <w:p>
      <w:pPr>
        <w:pStyle w:val="4"/>
        <w:keepNext w:val="0"/>
        <w:keepLines w:val="0"/>
        <w:pageBreakBefore w:val="0"/>
        <w:kinsoku/>
        <w:wordWrap/>
        <w:overflowPunct/>
        <w:topLinePunct w:val="0"/>
        <w:autoSpaceDE/>
        <w:autoSpaceDN/>
        <w:bidi w:val="0"/>
        <w:spacing w:beforeLines="0" w:afterLines="0" w:line="600" w:lineRule="exact"/>
        <w:ind w:firstLine="643" w:firstLineChars="2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color w:val="auto"/>
          <w:kern w:val="2"/>
          <w:sz w:val="32"/>
          <w:szCs w:val="32"/>
          <w:lang w:val="en-US" w:eastAsia="zh-CN" w:bidi="ar-SA"/>
        </w:rPr>
        <w:t>10.不断深化军地融合共建。</w:t>
      </w:r>
      <w:r>
        <w:rPr>
          <w:rFonts w:hint="eastAsia" w:ascii="Times New Roman" w:hAnsi="Times New Roman" w:eastAsia="仿宋_GB2312" w:cs="仿宋_GB2312"/>
          <w:b w:val="0"/>
          <w:bCs w:val="0"/>
          <w:color w:val="auto"/>
          <w:kern w:val="2"/>
          <w:sz w:val="32"/>
          <w:szCs w:val="32"/>
          <w:lang w:val="en-US" w:eastAsia="zh-CN" w:bidi="ar-SA"/>
        </w:rPr>
        <w:t>充分发挥双拥工作领导小组办公室作用，健全双拥工作协调机制，完善定期走访、信息沟通、军地联席会议制度，扎实推进军地援建“双十工程”及“爱心献功臣”工作，积极组织开展“两节”“八一”走访慰问、情系“边海防”和文化演出“进军营”等拥军优属活动，大力营造尊崇军人职业、尊重退役军人的浓厚社会氛围。按照《全国双拥模范城（县）考评标准》和《华池县创建</w:t>
      </w:r>
      <w:r>
        <w:rPr>
          <w:rFonts w:hint="default" w:ascii="Times New Roman" w:hAnsi="Times New Roman" w:eastAsia="仿宋_GB2312" w:cs="仿宋_GB2312"/>
          <w:b w:val="0"/>
          <w:bCs w:val="0"/>
          <w:color w:val="auto"/>
          <w:kern w:val="2"/>
          <w:sz w:val="32"/>
          <w:szCs w:val="32"/>
          <w:lang w:val="en-US" w:eastAsia="zh-CN" w:bidi="ar-SA"/>
        </w:rPr>
        <w:t>全国全省双拥模范城（县）实施方案</w:t>
      </w:r>
      <w:r>
        <w:rPr>
          <w:rFonts w:hint="eastAsia" w:ascii="Times New Roman" w:hAnsi="Times New Roman" w:eastAsia="仿宋_GB2312" w:cs="仿宋_GB2312"/>
          <w:b w:val="0"/>
          <w:bCs w:val="0"/>
          <w:color w:val="auto"/>
          <w:kern w:val="2"/>
          <w:sz w:val="32"/>
          <w:szCs w:val="32"/>
          <w:lang w:val="en-US" w:eastAsia="zh-CN" w:bidi="ar-SA"/>
        </w:rPr>
        <w:t>》，树牢快干实干、大抓落实的工作作风，牢固树立向战为战工作理念，紧扣中心任务，围绕“三前”、聚焦“三后”，强化目标导向、结果导向，对标一流、追赶一流、超越一流</w:t>
      </w:r>
      <w:r>
        <w:rPr>
          <w:rFonts w:hint="eastAsia" w:ascii="Times New Roman" w:hAnsi="Times New Roman" w:eastAsia="仿宋_GB2312" w:cs="仿宋_GB2312"/>
          <w:b w:val="0"/>
          <w:bCs w:val="0"/>
          <w:color w:val="auto"/>
          <w:kern w:val="2"/>
          <w:sz w:val="32"/>
          <w:szCs w:val="32"/>
          <w:highlight w:val="none"/>
          <w:lang w:val="en-US" w:eastAsia="zh-CN" w:bidi="ar-SA"/>
        </w:rPr>
        <w:t>，争创全国双拥模范县，不断开创全县双拥工作高质量发展</w:t>
      </w:r>
      <w:r>
        <w:rPr>
          <w:rFonts w:hint="eastAsia" w:ascii="Times New Roman" w:hAnsi="Times New Roman" w:eastAsia="仿宋_GB2312" w:cs="仿宋_GB2312"/>
          <w:b w:val="0"/>
          <w:bCs w:val="0"/>
          <w:color w:val="auto"/>
          <w:kern w:val="2"/>
          <w:sz w:val="32"/>
          <w:szCs w:val="32"/>
          <w:lang w:val="en-US" w:eastAsia="zh-CN" w:bidi="ar-SA"/>
        </w:rPr>
        <w:t>新局面。</w:t>
      </w:r>
      <w:r>
        <w:rPr>
          <w:rFonts w:hint="eastAsia" w:asciiTheme="minorEastAsia" w:hAnsiTheme="minorEastAsia"/>
          <w:b/>
          <w:color w:val="000000"/>
          <w:sz w:val="30"/>
          <w:szCs w:val="30"/>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line="600" w:lineRule="exact"/>
        <w:ind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（四）预算绩效管理开展情况</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1.修订完善部门财务规章，健全财务制度。为进一步规范资金使用，健全财务内控制度。</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2.科学编制预算，确保预算的完整性。在部门预算编报时认真分析研究，参照上年预算执行情况、部门支出绩效评价，结合当年重点工作、收支预测等科学编报，特别是在</w:t>
      </w:r>
      <w:r>
        <w:rPr>
          <w:rFonts w:hint="eastAsia" w:ascii="仿宋_GB2312" w:hAnsi="仿宋_GB2312" w:eastAsia="仿宋_GB2312" w:cs="仿宋_GB2312"/>
          <w:sz w:val="32"/>
          <w:szCs w:val="32"/>
          <w:lang w:val="en-US" w:eastAsia="zh-CN"/>
        </w:rPr>
        <w:t>各项</w:t>
      </w:r>
      <w:r>
        <w:rPr>
          <w:rFonts w:hint="eastAsia" w:ascii="仿宋_GB2312" w:hAnsi="仿宋_GB2312" w:eastAsia="仿宋_GB2312" w:cs="仿宋_GB2312"/>
          <w:sz w:val="32"/>
          <w:szCs w:val="32"/>
        </w:rPr>
        <w:t>资金申报上，要进行充分的调查研究，论证项目实施的充分性与必要性，合理测算所需财政资金，严格设置项目绩效目标。</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3.严格预算支出，特别是严控“三公”经费支出，厉行勤俭节约，提高资金使用效益。</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4.坚持预决算公开，提高预算执行透明度。严格按照财政部门要求及政府信息公开相关规定，在批复下达20日内予以公开，接受社会监督。</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资产管理合规合法、安全可靠。在资产购置、报废处置时，严格按照相关规定，报送国资、财政等部门审批，办理采购、入账、核销手续，同时实行资产实物与账务分开管理，做到实物有专人管，账务有专人核算，定期进行实物盘点，确保账实相符。</w:t>
      </w:r>
    </w:p>
    <w:p>
      <w:pPr>
        <w:keepNext w:val="0"/>
        <w:keepLines w:val="0"/>
        <w:pageBreakBefore w:val="0"/>
        <w:kinsoku/>
        <w:wordWrap/>
        <w:overflowPunct/>
        <w:topLinePunct w:val="0"/>
        <w:autoSpaceDE/>
        <w:autoSpaceDN/>
        <w:bidi w:val="0"/>
        <w:adjustRightInd/>
        <w:snapToGrid w:val="0"/>
        <w:spacing w:line="600" w:lineRule="exact"/>
        <w:ind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（五）预算执行情况</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全年预算收入</w:t>
      </w:r>
      <w:r>
        <w:rPr>
          <w:rFonts w:hint="eastAsia" w:ascii="仿宋_GB2312" w:hAnsi="仿宋_GB2312" w:eastAsia="仿宋_GB2312" w:cs="仿宋_GB2312"/>
          <w:sz w:val="32"/>
          <w:szCs w:val="32"/>
          <w:lang w:val="en-US" w:eastAsia="zh-CN"/>
        </w:rPr>
        <w:t>1449.36万</w:t>
      </w:r>
      <w:r>
        <w:rPr>
          <w:rFonts w:hint="eastAsia" w:ascii="仿宋_GB2312" w:hAnsi="仿宋_GB2312" w:eastAsia="仿宋_GB2312" w:cs="仿宋_GB2312"/>
          <w:sz w:val="32"/>
          <w:szCs w:val="32"/>
        </w:rPr>
        <w:t>元，其中：财政拨款收入</w:t>
      </w:r>
      <w:r>
        <w:rPr>
          <w:rFonts w:hint="eastAsia" w:ascii="仿宋_GB2312" w:hAnsi="仿宋_GB2312" w:eastAsia="仿宋_GB2312" w:cs="仿宋_GB2312"/>
          <w:sz w:val="32"/>
          <w:szCs w:val="32"/>
          <w:lang w:val="en-US" w:eastAsia="zh-CN"/>
        </w:rPr>
        <w:t>1449.36</w:t>
      </w:r>
      <w:r>
        <w:rPr>
          <w:rFonts w:hint="eastAsia" w:ascii="仿宋_GB2312" w:hAnsi="仿宋_GB2312" w:eastAsia="仿宋_GB2312" w:cs="仿宋_GB2312"/>
          <w:sz w:val="32"/>
          <w:szCs w:val="32"/>
        </w:rPr>
        <w:t>万元，占总收入的100%；全年总支出</w:t>
      </w:r>
      <w:r>
        <w:rPr>
          <w:rFonts w:hint="eastAsia" w:ascii="仿宋_GB2312" w:hAnsi="仿宋_GB2312" w:eastAsia="仿宋_GB2312" w:cs="仿宋_GB2312"/>
          <w:sz w:val="32"/>
          <w:szCs w:val="32"/>
          <w:lang w:val="en-US" w:eastAsia="zh-CN"/>
        </w:rPr>
        <w:t>1449.36</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1.各项收支占总支出的比重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单位：万元</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项目</w:t>
            </w:r>
          </w:p>
        </w:tc>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决算收支数</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占比</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人员经费</w:t>
            </w:r>
          </w:p>
        </w:tc>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1371.96</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92.52</w:t>
            </w:r>
            <w:r>
              <w:rPr>
                <w:rFonts w:hint="eastAsia" w:ascii="仿宋_GB2312" w:hAnsi="仿宋_GB2312" w:eastAsia="仿宋_GB2312" w:cs="仿宋_GB2312"/>
                <w:sz w:val="30"/>
                <w:szCs w:val="30"/>
              </w:rPr>
              <w:t>%</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公用经费</w:t>
            </w:r>
          </w:p>
        </w:tc>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108.39</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7.48</w:t>
            </w:r>
            <w:r>
              <w:rPr>
                <w:rFonts w:hint="eastAsia" w:ascii="仿宋_GB2312" w:hAnsi="仿宋_GB2312" w:eastAsia="仿宋_GB2312" w:cs="仿宋_GB2312"/>
                <w:sz w:val="30"/>
                <w:szCs w:val="30"/>
              </w:rPr>
              <w:t>%</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项目经费</w:t>
            </w:r>
          </w:p>
        </w:tc>
        <w:tc>
          <w:tcPr>
            <w:tcW w:w="2130" w:type="dxa"/>
          </w:tcPr>
          <w:p>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0</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w:t>
            </w:r>
          </w:p>
        </w:tc>
        <w:tc>
          <w:tcPr>
            <w:tcW w:w="2131" w:type="dxa"/>
          </w:tcPr>
          <w:p>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rPr>
            </w:pPr>
          </w:p>
        </w:tc>
      </w:tr>
    </w:tbl>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.“三公”经费支出情况</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本年度</w:t>
      </w:r>
      <w:r>
        <w:rPr>
          <w:rFonts w:hint="eastAsia" w:ascii="仿宋_GB2312" w:hAnsi="仿宋_GB2312" w:eastAsia="仿宋_GB2312" w:cs="仿宋_GB2312"/>
          <w:sz w:val="32"/>
          <w:szCs w:val="32"/>
        </w:rPr>
        <w:t xml:space="preserve">无三公经费支出。 </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在资金的使用过程中，</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高度重视经费的管理，为进一步严格经费管理，控制</w:t>
      </w:r>
      <w:r>
        <w:rPr>
          <w:rFonts w:hint="eastAsia" w:ascii="仿宋_GB2312" w:hAnsi="仿宋_GB2312" w:eastAsia="仿宋_GB2312" w:cs="仿宋_GB2312"/>
          <w:sz w:val="32"/>
          <w:szCs w:val="32"/>
          <w:lang w:val="en-US" w:eastAsia="zh-CN"/>
        </w:rPr>
        <w:t>义教</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直达资金</w:t>
      </w:r>
      <w:r>
        <w:rPr>
          <w:rFonts w:hint="eastAsia" w:ascii="仿宋_GB2312" w:hAnsi="仿宋_GB2312" w:eastAsia="仿宋_GB2312" w:cs="仿宋_GB2312"/>
          <w:sz w:val="32"/>
          <w:szCs w:val="32"/>
        </w:rPr>
        <w:t>支出，特别是</w:t>
      </w:r>
      <w:r>
        <w:rPr>
          <w:rFonts w:hint="eastAsia" w:ascii="仿宋_GB2312" w:hAnsi="仿宋_GB2312" w:eastAsia="仿宋_GB2312" w:cs="仿宋_GB2312"/>
          <w:sz w:val="32"/>
          <w:szCs w:val="32"/>
          <w:lang w:val="en-US" w:eastAsia="zh-CN"/>
        </w:rPr>
        <w:t>培训费</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严格执行</w:t>
      </w:r>
      <w:r>
        <w:rPr>
          <w:rFonts w:hint="eastAsia" w:ascii="仿宋_GB2312" w:hAnsi="仿宋_GB2312" w:eastAsia="仿宋_GB2312" w:cs="仿宋_GB2312"/>
          <w:sz w:val="32"/>
          <w:szCs w:val="32"/>
          <w:lang w:val="en-US" w:eastAsia="zh-CN"/>
        </w:rPr>
        <w:t>差旅费报销</w:t>
      </w:r>
      <w:r>
        <w:rPr>
          <w:rFonts w:hint="eastAsia" w:ascii="仿宋_GB2312" w:hAnsi="仿宋_GB2312" w:eastAsia="仿宋_GB2312" w:cs="仿宋_GB2312"/>
          <w:sz w:val="32"/>
          <w:szCs w:val="32"/>
        </w:rPr>
        <w:t xml:space="preserve">管理制度，严格按照审批权限对资金支付进行了审核、审批，并严格按照国家相关会计制度的规定进行核算，有效确保了资金的规范使用、高效使用。 </w:t>
      </w:r>
    </w:p>
    <w:p>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b/>
          <w:color w:val="000000"/>
          <w:sz w:val="32"/>
          <w:szCs w:val="32"/>
          <w:shd w:val="clear" w:color="auto" w:fill="FFFFFF"/>
        </w:rPr>
      </w:pPr>
      <w:r>
        <w:rPr>
          <w:rFonts w:hint="eastAsia" w:ascii="黑体" w:hAnsi="黑体" w:eastAsia="黑体" w:cs="黑体"/>
          <w:b/>
          <w:color w:val="000000"/>
          <w:sz w:val="32"/>
          <w:szCs w:val="32"/>
          <w:shd w:val="clear" w:color="auto" w:fill="FFFFFF"/>
        </w:rPr>
        <w:t>二、部门整体支出绩效实现情况</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b w:val="0"/>
          <w:bCs w:val="0"/>
          <w:color w:val="auto"/>
          <w:kern w:val="2"/>
          <w:sz w:val="32"/>
          <w:szCs w:val="32"/>
          <w:lang w:val="en-US" w:eastAsia="zh-CN" w:bidi="ar-SA"/>
        </w:rPr>
        <w:t>2023年，</w:t>
      </w:r>
      <w:r>
        <w:rPr>
          <w:rFonts w:hint="default" w:ascii="Times New Roman" w:hAnsi="Times New Roman" w:eastAsia="仿宋_GB2312" w:cs="Times New Roman"/>
          <w:sz w:val="32"/>
          <w:szCs w:val="32"/>
          <w:lang w:val="en-US" w:eastAsia="zh-CN"/>
        </w:rPr>
        <w:t>在</w:t>
      </w:r>
      <w:r>
        <w:rPr>
          <w:rFonts w:hint="eastAsia" w:ascii="Times New Roman" w:hAnsi="Times New Roman" w:eastAsia="仿宋_GB2312" w:cs="Times New Roman"/>
          <w:sz w:val="32"/>
          <w:szCs w:val="32"/>
          <w:lang w:val="en-US" w:eastAsia="zh-CN"/>
        </w:rPr>
        <w:t>县</w:t>
      </w:r>
      <w:r>
        <w:rPr>
          <w:rFonts w:hint="default" w:ascii="Times New Roman" w:hAnsi="Times New Roman" w:eastAsia="仿宋_GB2312" w:cs="Times New Roman"/>
          <w:sz w:val="32"/>
          <w:szCs w:val="32"/>
          <w:lang w:val="en-US" w:eastAsia="zh-CN"/>
        </w:rPr>
        <w:t>委</w:t>
      </w:r>
      <w:r>
        <w:rPr>
          <w:rFonts w:hint="eastAsia" w:ascii="Times New Roman" w:hAnsi="Times New Roman" w:eastAsia="仿宋_GB2312" w:cs="Times New Roman"/>
          <w:sz w:val="32"/>
          <w:szCs w:val="32"/>
          <w:lang w:val="en-US" w:eastAsia="zh-CN"/>
        </w:rPr>
        <w:t>县</w:t>
      </w:r>
      <w:r>
        <w:rPr>
          <w:rFonts w:hint="default" w:ascii="Times New Roman" w:hAnsi="Times New Roman" w:eastAsia="仿宋_GB2312" w:cs="Times New Roman"/>
          <w:sz w:val="32"/>
          <w:szCs w:val="32"/>
          <w:lang w:val="en-US" w:eastAsia="zh-CN"/>
        </w:rPr>
        <w:t>政府的坚强领导和省</w:t>
      </w:r>
      <w:r>
        <w:rPr>
          <w:rFonts w:hint="eastAsia" w:ascii="Times New Roman" w:hAnsi="Times New Roman" w:eastAsia="仿宋_GB2312" w:cs="Times New Roman"/>
          <w:sz w:val="32"/>
          <w:szCs w:val="32"/>
          <w:lang w:val="en-US" w:eastAsia="zh-CN"/>
        </w:rPr>
        <w:t>、市</w:t>
      </w:r>
      <w:r>
        <w:rPr>
          <w:rFonts w:hint="default" w:ascii="Times New Roman" w:hAnsi="Times New Roman" w:eastAsia="仿宋_GB2312" w:cs="Times New Roman"/>
          <w:sz w:val="32"/>
          <w:szCs w:val="32"/>
          <w:lang w:val="en-US" w:eastAsia="zh-CN"/>
        </w:rPr>
        <w:t>退役军人</w:t>
      </w:r>
      <w:r>
        <w:rPr>
          <w:rFonts w:hint="eastAsia" w:ascii="Times New Roman" w:hAnsi="Times New Roman" w:eastAsia="仿宋_GB2312" w:cs="Times New Roman"/>
          <w:sz w:val="32"/>
          <w:szCs w:val="32"/>
          <w:lang w:val="en-US" w:eastAsia="zh-CN"/>
        </w:rPr>
        <w:t>部门</w:t>
      </w:r>
      <w:r>
        <w:rPr>
          <w:rFonts w:hint="default" w:ascii="Times New Roman" w:hAnsi="Times New Roman" w:eastAsia="仿宋_GB2312" w:cs="Times New Roman"/>
          <w:sz w:val="32"/>
          <w:szCs w:val="32"/>
          <w:lang w:val="en-US" w:eastAsia="zh-CN"/>
        </w:rPr>
        <w:t>的指导支持下</w:t>
      </w:r>
      <w:r>
        <w:rPr>
          <w:rFonts w:hint="eastAsia" w:ascii="Times New Roman" w:hAnsi="Times New Roman" w:eastAsia="仿宋_GB2312" w:cs="Times New Roman"/>
          <w:sz w:val="32"/>
          <w:szCs w:val="32"/>
          <w:lang w:val="en-US" w:eastAsia="zh-CN"/>
        </w:rPr>
        <w:t>，华池县</w:t>
      </w:r>
      <w:r>
        <w:rPr>
          <w:rFonts w:hint="eastAsia" w:ascii="Times New Roman" w:hAnsi="Times New Roman" w:eastAsia="仿宋_GB2312" w:cs="仿宋_GB2312"/>
          <w:b w:val="0"/>
          <w:bCs w:val="0"/>
          <w:color w:val="auto"/>
          <w:kern w:val="2"/>
          <w:sz w:val="32"/>
          <w:szCs w:val="32"/>
          <w:lang w:val="en-US" w:eastAsia="zh-CN" w:bidi="ar-SA"/>
        </w:rPr>
        <w:t>退役军人事务工作坚持以习近平新时代中国特色社会主义思想为指导，全面贯彻落实党的二十大精神和习近平总书记对甘肃重要讲话</w:t>
      </w:r>
      <w:r>
        <w:rPr>
          <w:rFonts w:hint="eastAsia" w:ascii="Times New Roman" w:hAnsi="Times New Roman" w:eastAsia="仿宋_GB2312" w:cs="仿宋_GB2312"/>
          <w:color w:val="auto"/>
          <w:sz w:val="32"/>
          <w:szCs w:val="32"/>
          <w:lang w:val="en-US" w:eastAsia="zh-CN"/>
        </w:rPr>
        <w:t>和指示批示精神，深入贯彻落实新时代退役军人工作总要求，</w:t>
      </w:r>
      <w:r>
        <w:rPr>
          <w:rFonts w:hint="eastAsia" w:ascii="Times New Roman" w:hAnsi="Times New Roman" w:eastAsia="仿宋_GB2312" w:cs="Times New Roman"/>
          <w:i w:val="0"/>
          <w:caps w:val="0"/>
          <w:color w:val="auto"/>
          <w:spacing w:val="0"/>
          <w:kern w:val="0"/>
          <w:sz w:val="32"/>
          <w:szCs w:val="32"/>
          <w:lang w:val="en-US" w:eastAsia="zh-CN"/>
        </w:rPr>
        <w:t>围绕中心服务大局，</w:t>
      </w:r>
      <w:r>
        <w:rPr>
          <w:rFonts w:hint="eastAsia" w:ascii="Times New Roman" w:hAnsi="Times New Roman" w:eastAsia="仿宋_GB2312" w:cs="仿宋_GB2312"/>
          <w:color w:val="auto"/>
          <w:sz w:val="32"/>
          <w:szCs w:val="32"/>
        </w:rPr>
        <w:t>持续健全完善</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三大体系</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w:t>
      </w:r>
      <w:r>
        <w:rPr>
          <w:rFonts w:hint="eastAsia" w:ascii="Times New Roman" w:hAnsi="Times New Roman" w:eastAsia="仿宋_GB2312" w:cs="Times New Roman"/>
          <w:i w:val="0"/>
          <w:caps w:val="0"/>
          <w:color w:val="auto"/>
          <w:spacing w:val="0"/>
          <w:kern w:val="0"/>
          <w:sz w:val="32"/>
          <w:szCs w:val="32"/>
          <w:lang w:val="en-US" w:eastAsia="zh-CN"/>
        </w:rPr>
        <w:t>进一步</w:t>
      </w:r>
      <w:r>
        <w:rPr>
          <w:rFonts w:hint="eastAsia" w:ascii="Times New Roman" w:hAnsi="Times New Roman" w:eastAsia="仿宋_GB2312" w:cs="Times New Roman"/>
          <w:color w:val="auto"/>
          <w:kern w:val="0"/>
          <w:sz w:val="32"/>
          <w:szCs w:val="32"/>
        </w:rPr>
        <w:t>转变工作作风</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sz w:val="32"/>
          <w:szCs w:val="32"/>
          <w:highlight w:val="none"/>
          <w:lang w:val="en-US" w:eastAsia="zh-CN"/>
        </w:rPr>
        <w:t>强化工作措施、</w:t>
      </w:r>
      <w:r>
        <w:rPr>
          <w:rFonts w:hint="eastAsia" w:ascii="Times New Roman" w:hAnsi="Times New Roman" w:eastAsia="仿宋_GB2312" w:cs="仿宋_GB2312"/>
          <w:color w:val="auto"/>
          <w:sz w:val="32"/>
          <w:szCs w:val="32"/>
        </w:rPr>
        <w:t>创新工作思路，不断提升服务管理保障水平，有力有效防范化解重大风险，稳步推进</w:t>
      </w:r>
      <w:r>
        <w:rPr>
          <w:rFonts w:hint="eastAsia" w:ascii="Times New Roman" w:hAnsi="Times New Roman" w:eastAsia="仿宋_GB2312" w:cs="仿宋_GB2312"/>
          <w:color w:val="auto"/>
          <w:sz w:val="32"/>
          <w:szCs w:val="32"/>
          <w:lang w:val="en-US" w:eastAsia="zh-CN"/>
        </w:rPr>
        <w:t>全县退役军人事务工作</w:t>
      </w:r>
      <w:r>
        <w:rPr>
          <w:rFonts w:hint="eastAsia" w:ascii="Times New Roman" w:hAnsi="Times New Roman" w:eastAsia="仿宋_GB2312" w:cs="仿宋_GB2312"/>
          <w:color w:val="auto"/>
          <w:sz w:val="32"/>
          <w:szCs w:val="32"/>
        </w:rPr>
        <w:t>向上向好发展。</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1.利用有限的经费，取得最大的战果，呈现经费支出的经济性和效率性。</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2.聚焦主责主业，扎实推进重点工作。强化权益保障，全县退役军人信访稳定可控</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3.加强财务日常监督工作，从</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的每笔收支入手，严格执行相关的财经政策，保证</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财务工作的真实性、完整性，维护</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的整体利益。</w:t>
      </w:r>
    </w:p>
    <w:p>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b/>
          <w:color w:val="000000"/>
          <w:sz w:val="32"/>
          <w:szCs w:val="32"/>
          <w:shd w:val="clear" w:color="auto" w:fill="FFFFFF"/>
        </w:rPr>
      </w:pPr>
      <w:r>
        <w:rPr>
          <w:rFonts w:hint="eastAsia" w:ascii="黑体" w:hAnsi="黑体" w:eastAsia="黑体" w:cs="黑体"/>
          <w:b/>
          <w:color w:val="000000"/>
          <w:sz w:val="32"/>
          <w:szCs w:val="32"/>
          <w:shd w:val="clear" w:color="auto" w:fill="FFFFFF"/>
        </w:rPr>
        <w:t>三、部门整体支出绩效存在问题及改进措施</w:t>
      </w:r>
    </w:p>
    <w:p>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（一）主要问题及原因分析</w:t>
      </w:r>
    </w:p>
    <w:p>
      <w:pPr>
        <w:keepNext w:val="0"/>
        <w:keepLines w:val="0"/>
        <w:pageBreakBefore w:val="0"/>
        <w:kinsoku/>
        <w:wordWrap/>
        <w:overflowPunct/>
        <w:topLinePunct w:val="0"/>
        <w:autoSpaceDE/>
        <w:autoSpaceDN/>
        <w:bidi w:val="0"/>
        <w:adjustRightInd/>
        <w:spacing w:line="600" w:lineRule="exact"/>
        <w:ind w:left="0" w:leftChars="0" w:firstLine="602" w:firstLineChars="200"/>
        <w:jc w:val="left"/>
        <w:textAlignment w:val="auto"/>
        <w:rPr>
          <w:rFonts w:hint="eastAsia" w:ascii="仿宋_GB2312" w:hAnsi="仿宋_GB2312" w:eastAsia="仿宋_GB2312" w:cs="仿宋_GB2312"/>
          <w:sz w:val="32"/>
          <w:szCs w:val="32"/>
        </w:rPr>
      </w:pPr>
      <w:r>
        <w:rPr>
          <w:rFonts w:hint="eastAsia" w:asciiTheme="minorEastAsia" w:hAnsiTheme="minorEastAsia"/>
          <w:b/>
          <w:sz w:val="30"/>
          <w:szCs w:val="30"/>
        </w:rPr>
        <w:t xml:space="preserve"> </w:t>
      </w:r>
      <w:r>
        <w:rPr>
          <w:rFonts w:hint="eastAsia" w:ascii="仿宋_GB2312" w:hAnsi="仿宋_GB2312" w:eastAsia="仿宋_GB2312" w:cs="仿宋_GB2312"/>
          <w:sz w:val="32"/>
          <w:szCs w:val="32"/>
        </w:rPr>
        <w:t>1.预算不够精细。在编制项目资金预算时，部分项目概况、实施方案、绩效目标等不具体、不细化，致使项目预算缺乏科学可靠的数据支撑，预算申报与财政实际批复存在较大差距。</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部分项目推进缓慢，资金支付率低。项目申报前期测算不科学，在财政资金到位后，才具体安排使用计划。财政下达预算批复后，由于前期手续复杂，衔接部门多，办理时间长，部分项目未能及时启动，影响了项目实施进度，导致资金支付进度缓慢，没有充分发挥财政资金的使用效益。</w:t>
      </w:r>
    </w:p>
    <w:p>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（二）改进措施</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1.增强预算编报的科学性、精准性。预算编报是预算执行的基础和依据，</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将进一步强化部门预算的科学性、精准性。</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2.加快项目实施进度，提升资金使用效益。 </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将严格按照财政部门下达的预算指标，及时推进项目实施，加强同财政、发改、</w:t>
      </w:r>
      <w:r>
        <w:rPr>
          <w:rFonts w:hint="eastAsia" w:ascii="仿宋_GB2312" w:hAnsi="仿宋_GB2312" w:eastAsia="仿宋_GB2312" w:cs="仿宋_GB2312"/>
          <w:sz w:val="32"/>
          <w:szCs w:val="32"/>
          <w:lang w:eastAsia="zh-CN"/>
        </w:rPr>
        <w:t>人社</w:t>
      </w:r>
      <w:r>
        <w:rPr>
          <w:rFonts w:hint="eastAsia" w:ascii="仿宋_GB2312" w:hAnsi="仿宋_GB2312" w:eastAsia="仿宋_GB2312" w:cs="仿宋_GB2312"/>
          <w:sz w:val="32"/>
          <w:szCs w:val="32"/>
        </w:rPr>
        <w:t>等部门的衔接沟通工作，建立项目清单管理制度全面加强项目资金的管理，及时办理项目的立项审批及采购招标等手续，确保项目尽早实施；在资金使用管理方面，严格规范操作，严格资金的使用范围，做到专款专用，确保资金支出的真实性、安全性、合理性，力争年终项目资金应支尽支，切实发挥财政资金的使用效益。</w:t>
      </w:r>
    </w:p>
    <w:p>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b/>
          <w:color w:val="000000"/>
          <w:sz w:val="32"/>
          <w:szCs w:val="32"/>
          <w:shd w:val="clear" w:color="auto" w:fill="FFFFFF"/>
        </w:rPr>
      </w:pPr>
      <w:r>
        <w:rPr>
          <w:rFonts w:hint="eastAsia" w:ascii="黑体" w:hAnsi="黑体" w:eastAsia="黑体" w:cs="黑体"/>
          <w:b/>
          <w:color w:val="000000"/>
          <w:sz w:val="32"/>
          <w:szCs w:val="32"/>
          <w:shd w:val="clear" w:color="auto" w:fill="FFFFFF"/>
        </w:rPr>
        <w:t>四、绩效自评结果拟应用和公开情况</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根据财政部门既定的指标，形成自评指标体系，结合部门财务报表、项目资料等自评资料，汇总分析和评价，综合结论为：</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部门整体支出工作能够按整体工作进度推进，总体工作取得良好成效，但在财务管理、项目管理方面还有改进空间。 综合评价得：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分。评价结果将按照相关要求，适时公开，接受社会监督。</w:t>
      </w:r>
    </w:p>
    <w:p>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pacing w:line="600" w:lineRule="exact"/>
        <w:ind w:left="5120" w:leftChars="0" w:hanging="5120" w:hangingChars="1600"/>
        <w:jc w:val="left"/>
        <w:textAlignment w:val="auto"/>
        <w:rPr>
          <w:rFonts w:hint="eastAsia" w:ascii="仿宋_GB2312" w:hAnsi="仿宋_GB2312" w:eastAsia="仿宋_GB2312" w:cs="仿宋_GB2312"/>
          <w:b/>
          <w:color w:val="000000"/>
          <w:sz w:val="32"/>
          <w:szCs w:val="32"/>
          <w:shd w:val="clear" w:color="auto" w:fill="FFFFFF"/>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华池县退役军人事务局</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NjE5NWQ4Nzg3M2NkNWQ1ZjA2ZWY4MWQ2MjE0ZDQifQ=="/>
  </w:docVars>
  <w:rsids>
    <w:rsidRoot w:val="006A08DF"/>
    <w:rsid w:val="00042382"/>
    <w:rsid w:val="00075414"/>
    <w:rsid w:val="00121A50"/>
    <w:rsid w:val="0012475E"/>
    <w:rsid w:val="0016254D"/>
    <w:rsid w:val="0020591F"/>
    <w:rsid w:val="00220657"/>
    <w:rsid w:val="002B3289"/>
    <w:rsid w:val="002E7D5E"/>
    <w:rsid w:val="002F29D4"/>
    <w:rsid w:val="00342991"/>
    <w:rsid w:val="00483E70"/>
    <w:rsid w:val="004E5E2D"/>
    <w:rsid w:val="005508CE"/>
    <w:rsid w:val="0058346F"/>
    <w:rsid w:val="005A3583"/>
    <w:rsid w:val="005F426C"/>
    <w:rsid w:val="006060D6"/>
    <w:rsid w:val="0062520A"/>
    <w:rsid w:val="006677B1"/>
    <w:rsid w:val="00680BC0"/>
    <w:rsid w:val="006A08DF"/>
    <w:rsid w:val="006D47E2"/>
    <w:rsid w:val="00705061"/>
    <w:rsid w:val="00716719"/>
    <w:rsid w:val="007517E9"/>
    <w:rsid w:val="00780BE9"/>
    <w:rsid w:val="007B3D52"/>
    <w:rsid w:val="008421B8"/>
    <w:rsid w:val="00870B23"/>
    <w:rsid w:val="008C1B52"/>
    <w:rsid w:val="00927928"/>
    <w:rsid w:val="0096495D"/>
    <w:rsid w:val="00975AB6"/>
    <w:rsid w:val="009B2DF8"/>
    <w:rsid w:val="009C1C00"/>
    <w:rsid w:val="009F0075"/>
    <w:rsid w:val="00A11B4C"/>
    <w:rsid w:val="00A170E6"/>
    <w:rsid w:val="00A17760"/>
    <w:rsid w:val="00A223CE"/>
    <w:rsid w:val="00A5442E"/>
    <w:rsid w:val="00A653CA"/>
    <w:rsid w:val="00A83562"/>
    <w:rsid w:val="00A86052"/>
    <w:rsid w:val="00AF383B"/>
    <w:rsid w:val="00B047C0"/>
    <w:rsid w:val="00B108FE"/>
    <w:rsid w:val="00B11FBE"/>
    <w:rsid w:val="00B91E04"/>
    <w:rsid w:val="00BE44CD"/>
    <w:rsid w:val="00C6670A"/>
    <w:rsid w:val="00C80764"/>
    <w:rsid w:val="00D22DE4"/>
    <w:rsid w:val="00D80319"/>
    <w:rsid w:val="00E15458"/>
    <w:rsid w:val="00E52387"/>
    <w:rsid w:val="00E718D9"/>
    <w:rsid w:val="00EB74A5"/>
    <w:rsid w:val="00FA1DCF"/>
    <w:rsid w:val="00FD6DC1"/>
    <w:rsid w:val="00FF4E98"/>
    <w:rsid w:val="096870F6"/>
    <w:rsid w:val="097033A9"/>
    <w:rsid w:val="161B48EC"/>
    <w:rsid w:val="24453254"/>
    <w:rsid w:val="29196EBC"/>
    <w:rsid w:val="39CE572A"/>
    <w:rsid w:val="4A8232F8"/>
    <w:rsid w:val="51146ED3"/>
    <w:rsid w:val="65DA2D9F"/>
    <w:rsid w:val="66A001EE"/>
    <w:rsid w:val="72AD019E"/>
    <w:rsid w:val="78BB214B"/>
    <w:rsid w:val="79110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after="120" w:line="480" w:lineRule="auto"/>
      <w:ind w:left="420" w:leftChars="200"/>
    </w:pPr>
  </w:style>
  <w:style w:type="paragraph" w:styleId="3">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4">
    <w:name w:val="Title"/>
    <w:basedOn w:val="1"/>
    <w:next w:val="1"/>
    <w:qFormat/>
    <w:uiPriority w:val="99"/>
    <w:pPr>
      <w:adjustRightInd w:val="0"/>
      <w:snapToGrid w:val="0"/>
      <w:spacing w:beforeLines="100" w:afterLines="100"/>
      <w:jc w:val="center"/>
    </w:pPr>
    <w:rPr>
      <w:rFonts w:hAnsi="Arial" w:cs="Arial"/>
      <w:b/>
      <w:bCs/>
      <w:sz w:val="48"/>
      <w:szCs w:val="48"/>
    </w:rPr>
  </w:style>
  <w:style w:type="paragraph" w:customStyle="1" w:styleId="7">
    <w:name w:val="Normal"/>
    <w:autoRedefine/>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11</Pages>
  <Words>2852</Words>
  <Characters>2996</Characters>
  <Lines>34</Lines>
  <Paragraphs>9</Paragraphs>
  <TotalTime>4</TotalTime>
  <ScaleCrop>false</ScaleCrop>
  <LinksUpToDate>false</LinksUpToDate>
  <CharactersWithSpaces>3098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2020-05-21T08:08:00Z</dcterms:created>
  <dc:creator>AutoBVT</dc:creator>
  <cp:lastModifiedBy>lenovo</cp:lastModifiedBy>
  <cp:lastPrinted>2021-11-24T04:58:00Z</cp:lastPrinted>
  <dcterms:modified xsi:type="dcterms:W3CDTF">2024-05-22T08:59:35Z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EB57AA1FBBA34B94BA29875B85B3087C_13</vt:lpwstr>
  </property>
</Properties>
</file>