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938A1">
      <w:pPr>
        <w:spacing w:before="100" w:beforeLines="0" w:after="100" w:afterLines="0"/>
        <w:jc w:val="center"/>
        <w:rPr>
          <w:rFonts w:hint="eastAsia" w:ascii="宋体" w:hAnsi="宋体"/>
          <w:sz w:val="24"/>
          <w:szCs w:val="24"/>
          <w:lang w:val="zh-CN"/>
        </w:rPr>
      </w:pPr>
    </w:p>
    <w:p w14:paraId="1EDA206F">
      <w:pPr>
        <w:spacing w:before="100" w:beforeLines="0" w:after="100" w:afterLines="0"/>
        <w:jc w:val="center"/>
        <w:rPr>
          <w:rFonts w:hint="eastAsia" w:ascii="宋体" w:hAnsi="宋体"/>
          <w:sz w:val="24"/>
          <w:szCs w:val="24"/>
          <w:lang w:val="zh-CN"/>
        </w:rPr>
      </w:pPr>
    </w:p>
    <w:p w14:paraId="1D88318A">
      <w:pPr>
        <w:spacing w:before="100" w:beforeLines="0" w:after="100" w:afterLines="0"/>
        <w:jc w:val="center"/>
        <w:rPr>
          <w:rFonts w:hint="eastAsia" w:ascii="宋体" w:hAnsi="宋体"/>
          <w:sz w:val="24"/>
          <w:szCs w:val="24"/>
          <w:lang w:val="zh-CN"/>
        </w:rPr>
      </w:pPr>
    </w:p>
    <w:p w14:paraId="2936D08D">
      <w:pPr>
        <w:spacing w:before="100" w:beforeLines="0" w:after="100" w:afterLines="0"/>
        <w:jc w:val="center"/>
        <w:rPr>
          <w:rFonts w:hint="eastAsia" w:ascii="宋体" w:hAnsi="宋体"/>
          <w:sz w:val="24"/>
          <w:szCs w:val="24"/>
          <w:lang w:val="zh-CN"/>
        </w:rPr>
      </w:pPr>
    </w:p>
    <w:p w14:paraId="26B70114">
      <w:pPr>
        <w:spacing w:before="100" w:beforeLines="0" w:after="100" w:afterLines="0"/>
        <w:jc w:val="center"/>
        <w:rPr>
          <w:rFonts w:hint="eastAsia" w:ascii="宋体" w:hAnsi="宋体"/>
          <w:sz w:val="24"/>
          <w:szCs w:val="24"/>
          <w:lang w:val="zh-CN"/>
        </w:rPr>
      </w:pPr>
    </w:p>
    <w:p w14:paraId="67859C3F">
      <w:pPr>
        <w:spacing w:before="100" w:beforeLines="0" w:after="100" w:afterLines="0"/>
        <w:jc w:val="center"/>
        <w:rPr>
          <w:rFonts w:hint="eastAsia" w:ascii="宋体" w:hAnsi="宋体"/>
          <w:sz w:val="24"/>
          <w:szCs w:val="24"/>
          <w:lang w:val="zh-CN"/>
        </w:rPr>
      </w:pPr>
    </w:p>
    <w:p w14:paraId="6AF22AFC">
      <w:pPr>
        <w:spacing w:before="100" w:beforeLines="0" w:after="100" w:afterLines="0"/>
        <w:jc w:val="center"/>
        <w:rPr>
          <w:rFonts w:hint="eastAsia" w:ascii="宋体" w:hAnsi="宋体"/>
          <w:sz w:val="24"/>
          <w:szCs w:val="24"/>
          <w:lang w:val="zh-CN"/>
        </w:rPr>
      </w:pPr>
    </w:p>
    <w:p w14:paraId="76D0F700">
      <w:pPr>
        <w:spacing w:before="100" w:beforeLines="0" w:after="100" w:afterLines="0"/>
        <w:jc w:val="center"/>
        <w:rPr>
          <w:rFonts w:hint="eastAsia" w:ascii="宋体" w:hAnsi="宋体"/>
          <w:sz w:val="24"/>
          <w:szCs w:val="24"/>
          <w:lang w:val="zh-CN"/>
        </w:rPr>
      </w:pPr>
    </w:p>
    <w:p w14:paraId="77C69699">
      <w:pPr>
        <w:spacing w:before="100" w:beforeLines="0" w:after="100" w:afterLines="0"/>
        <w:jc w:val="center"/>
        <w:rPr>
          <w:rFonts w:hint="eastAsia" w:ascii="宋体" w:hAnsi="宋体"/>
          <w:sz w:val="24"/>
          <w:szCs w:val="24"/>
          <w:lang w:val="zh-CN"/>
        </w:rPr>
      </w:pPr>
    </w:p>
    <w:p w14:paraId="620B5ECB">
      <w:pPr>
        <w:spacing w:before="100" w:beforeLines="0" w:after="100" w:afterLines="0"/>
        <w:jc w:val="center"/>
        <w:rPr>
          <w:rFonts w:hint="eastAsia" w:ascii="宋体" w:hAnsi="宋体"/>
          <w:sz w:val="24"/>
          <w:szCs w:val="24"/>
          <w:lang w:val="zh-CN"/>
        </w:rPr>
      </w:pPr>
    </w:p>
    <w:p w14:paraId="4613FCC1">
      <w:pPr>
        <w:spacing w:before="100" w:beforeLines="0" w:after="100" w:afterLines="0"/>
        <w:jc w:val="center"/>
        <w:rPr>
          <w:rFonts w:hint="eastAsia" w:ascii="宋体" w:hAnsi="宋体"/>
          <w:sz w:val="24"/>
          <w:szCs w:val="24"/>
          <w:lang w:val="zh-CN"/>
        </w:rPr>
      </w:pPr>
    </w:p>
    <w:p w14:paraId="4356C89D">
      <w:pPr>
        <w:spacing w:before="100" w:beforeLines="0" w:after="100" w:afterLines="0"/>
        <w:jc w:val="center"/>
        <w:rPr>
          <w:rFonts w:hint="eastAsia" w:ascii="宋体" w:hAnsi="宋体"/>
          <w:sz w:val="24"/>
          <w:szCs w:val="24"/>
          <w:lang w:val="zh-CN"/>
        </w:rPr>
      </w:pPr>
    </w:p>
    <w:p w14:paraId="21D15F63">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7B68E495">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华池县退役军人事务局部门决算</w:t>
      </w:r>
    </w:p>
    <w:p w14:paraId="1C438E0F">
      <w:pPr>
        <w:spacing w:before="100" w:beforeLines="0" w:after="100" w:afterLines="0"/>
        <w:jc w:val="center"/>
        <w:rPr>
          <w:rFonts w:hint="eastAsia" w:ascii="宋体" w:hAnsi="宋体"/>
          <w:sz w:val="24"/>
          <w:szCs w:val="24"/>
          <w:lang w:val="zh-CN"/>
        </w:rPr>
      </w:pPr>
    </w:p>
    <w:p w14:paraId="21B2FE97">
      <w:pPr>
        <w:spacing w:before="100" w:beforeLines="0" w:after="100" w:afterLines="0"/>
        <w:jc w:val="center"/>
        <w:rPr>
          <w:rFonts w:hint="eastAsia" w:ascii="宋体" w:hAnsi="宋体"/>
          <w:sz w:val="24"/>
          <w:szCs w:val="24"/>
          <w:lang w:val="zh-CN"/>
        </w:rPr>
      </w:pPr>
    </w:p>
    <w:p w14:paraId="7F665861">
      <w:pPr>
        <w:spacing w:before="100" w:beforeLines="0" w:after="100" w:afterLines="0"/>
        <w:jc w:val="center"/>
        <w:rPr>
          <w:rFonts w:hint="eastAsia" w:ascii="宋体" w:hAnsi="宋体"/>
          <w:sz w:val="24"/>
          <w:szCs w:val="24"/>
          <w:lang w:val="zh-CN"/>
        </w:rPr>
      </w:pPr>
    </w:p>
    <w:p w14:paraId="090A89A5">
      <w:pPr>
        <w:spacing w:before="100" w:beforeLines="0" w:after="100" w:afterLines="0"/>
        <w:jc w:val="center"/>
        <w:rPr>
          <w:rFonts w:hint="eastAsia" w:ascii="宋体" w:hAnsi="宋体"/>
          <w:sz w:val="24"/>
          <w:szCs w:val="24"/>
          <w:lang w:val="zh-CN"/>
        </w:rPr>
      </w:pPr>
    </w:p>
    <w:p w14:paraId="24B0CE9A">
      <w:pPr>
        <w:spacing w:before="100" w:beforeLines="0" w:after="100" w:afterLines="0"/>
        <w:jc w:val="center"/>
        <w:rPr>
          <w:rFonts w:hint="eastAsia" w:ascii="宋体" w:hAnsi="宋体"/>
          <w:sz w:val="24"/>
          <w:szCs w:val="24"/>
          <w:lang w:val="zh-CN"/>
        </w:rPr>
      </w:pPr>
    </w:p>
    <w:p w14:paraId="1757AB23">
      <w:pPr>
        <w:spacing w:before="100" w:beforeLines="0" w:after="100" w:afterLines="0"/>
        <w:jc w:val="center"/>
        <w:rPr>
          <w:rFonts w:hint="eastAsia" w:ascii="宋体" w:hAnsi="宋体"/>
          <w:sz w:val="24"/>
          <w:szCs w:val="24"/>
          <w:lang w:val="zh-CN"/>
        </w:rPr>
      </w:pPr>
    </w:p>
    <w:p w14:paraId="5B0D352A">
      <w:pPr>
        <w:spacing w:before="100" w:beforeLines="0" w:after="100" w:afterLines="0"/>
        <w:jc w:val="center"/>
        <w:rPr>
          <w:rFonts w:hint="eastAsia" w:ascii="宋体" w:hAnsi="宋体"/>
          <w:sz w:val="24"/>
          <w:szCs w:val="24"/>
          <w:lang w:val="zh-CN"/>
        </w:rPr>
      </w:pPr>
    </w:p>
    <w:p w14:paraId="1526F0D5">
      <w:pPr>
        <w:spacing w:before="100" w:beforeLines="0" w:after="100" w:afterLines="0"/>
        <w:jc w:val="center"/>
        <w:rPr>
          <w:rFonts w:hint="eastAsia" w:ascii="宋体" w:hAnsi="宋体"/>
          <w:sz w:val="24"/>
          <w:szCs w:val="24"/>
          <w:lang w:val="zh-CN"/>
        </w:rPr>
      </w:pPr>
    </w:p>
    <w:p w14:paraId="3EE385AC">
      <w:pPr>
        <w:spacing w:before="100" w:beforeLines="0" w:after="100" w:afterLines="0"/>
        <w:jc w:val="center"/>
        <w:rPr>
          <w:rFonts w:hint="eastAsia" w:ascii="宋体" w:hAnsi="宋体"/>
          <w:sz w:val="24"/>
          <w:szCs w:val="24"/>
          <w:lang w:val="zh-CN"/>
        </w:rPr>
      </w:pPr>
    </w:p>
    <w:p w14:paraId="15851DCB">
      <w:pPr>
        <w:spacing w:before="100" w:beforeLines="0" w:after="100" w:afterLines="0"/>
        <w:jc w:val="center"/>
        <w:rPr>
          <w:rFonts w:hint="eastAsia" w:ascii="宋体" w:hAnsi="宋体"/>
          <w:sz w:val="24"/>
          <w:szCs w:val="24"/>
          <w:lang w:val="zh-CN"/>
        </w:rPr>
      </w:pPr>
    </w:p>
    <w:p w14:paraId="7147A6D0">
      <w:pPr>
        <w:spacing w:before="100" w:beforeLines="0" w:after="100" w:afterLines="0"/>
        <w:jc w:val="center"/>
        <w:rPr>
          <w:rFonts w:hint="eastAsia" w:ascii="宋体" w:hAnsi="宋体"/>
          <w:sz w:val="24"/>
          <w:szCs w:val="24"/>
          <w:lang w:val="zh-CN"/>
        </w:rPr>
      </w:pPr>
    </w:p>
    <w:p w14:paraId="0A5FA93E">
      <w:pPr>
        <w:spacing w:before="100" w:beforeLines="0" w:after="100" w:afterLines="0"/>
        <w:jc w:val="center"/>
        <w:rPr>
          <w:rFonts w:hint="eastAsia" w:ascii="宋体" w:hAnsi="宋体"/>
          <w:sz w:val="24"/>
          <w:szCs w:val="24"/>
          <w:lang w:val="zh-CN"/>
        </w:rPr>
      </w:pPr>
    </w:p>
    <w:p w14:paraId="6882F351">
      <w:pPr>
        <w:spacing w:before="100" w:beforeLines="0" w:after="100" w:afterLines="0"/>
        <w:jc w:val="center"/>
        <w:rPr>
          <w:rFonts w:hint="eastAsia" w:ascii="宋体" w:hAnsi="宋体"/>
          <w:sz w:val="24"/>
          <w:szCs w:val="24"/>
          <w:lang w:val="zh-CN"/>
        </w:rPr>
      </w:pPr>
    </w:p>
    <w:p w14:paraId="441EA08D">
      <w:pPr>
        <w:spacing w:before="100" w:beforeLines="0" w:after="100" w:afterLines="0"/>
        <w:jc w:val="center"/>
        <w:rPr>
          <w:rFonts w:hint="eastAsia" w:ascii="宋体" w:hAnsi="宋体"/>
          <w:sz w:val="24"/>
          <w:szCs w:val="24"/>
          <w:lang w:val="zh-CN"/>
        </w:rPr>
      </w:pPr>
    </w:p>
    <w:p w14:paraId="076B28D3">
      <w:pPr>
        <w:spacing w:before="100" w:beforeLines="0" w:after="100" w:afterLines="0"/>
        <w:jc w:val="center"/>
        <w:rPr>
          <w:rFonts w:hint="eastAsia" w:ascii="宋体" w:hAnsi="宋体"/>
          <w:sz w:val="24"/>
          <w:szCs w:val="24"/>
          <w:lang w:val="zh-CN"/>
        </w:rPr>
      </w:pPr>
    </w:p>
    <w:p w14:paraId="321DE2FE">
      <w:pPr>
        <w:spacing w:before="100" w:beforeLines="0" w:after="100" w:afterLines="0"/>
        <w:jc w:val="center"/>
        <w:rPr>
          <w:rFonts w:hint="eastAsia" w:ascii="宋体" w:hAnsi="宋体"/>
          <w:sz w:val="24"/>
          <w:szCs w:val="24"/>
          <w:lang w:val="zh-CN"/>
        </w:rPr>
      </w:pPr>
    </w:p>
    <w:p w14:paraId="302B397C">
      <w:pPr>
        <w:spacing w:before="100" w:beforeLines="0" w:after="100" w:afterLines="0"/>
        <w:jc w:val="center"/>
        <w:rPr>
          <w:rFonts w:hint="eastAsia" w:ascii="宋体" w:hAnsi="宋体"/>
          <w:sz w:val="24"/>
          <w:szCs w:val="24"/>
          <w:lang w:val="zh-CN"/>
        </w:rPr>
      </w:pPr>
    </w:p>
    <w:p w14:paraId="2C171DEC">
      <w:pPr>
        <w:spacing w:before="100" w:beforeLines="0" w:after="100" w:afterLines="0"/>
        <w:jc w:val="center"/>
        <w:rPr>
          <w:rFonts w:hint="eastAsia" w:ascii="宋体" w:hAnsi="宋体"/>
          <w:sz w:val="24"/>
          <w:szCs w:val="24"/>
          <w:lang w:val="zh-CN"/>
        </w:rPr>
      </w:pPr>
    </w:p>
    <w:p w14:paraId="5B7A874F">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5E57AE25">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2ECC6C4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3C25E50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5B2A5CD9">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162CB61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14018D3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030034C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53355E6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7F4B23E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742B986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297B794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18F3AE6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52F220E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7DAA69FD">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5111C00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2478659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4E30474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36EEDA0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671BE91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5FEAE8D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0835E320">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025459C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0199AA74">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37FD7779">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6885608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06EC062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40752A4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6DE8FE5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73693DC8">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244E5300">
      <w:pPr>
        <w:spacing w:before="100" w:beforeLines="0" w:after="100" w:afterLines="0"/>
        <w:jc w:val="center"/>
        <w:rPr>
          <w:rFonts w:hint="eastAsia" w:ascii="宋体" w:hAnsi="宋体"/>
          <w:sz w:val="24"/>
          <w:szCs w:val="24"/>
          <w:lang w:val="zh-CN"/>
        </w:rPr>
      </w:pPr>
    </w:p>
    <w:p w14:paraId="7E7E1310">
      <w:pPr>
        <w:spacing w:before="100" w:beforeLines="0" w:after="100" w:afterLines="0"/>
        <w:jc w:val="center"/>
        <w:rPr>
          <w:rFonts w:hint="eastAsia" w:ascii="宋体" w:hAnsi="宋体"/>
          <w:sz w:val="24"/>
          <w:szCs w:val="24"/>
          <w:lang w:val="zh-CN"/>
        </w:rPr>
      </w:pPr>
    </w:p>
    <w:p w14:paraId="06814984">
      <w:pPr>
        <w:spacing w:before="100" w:beforeLines="0" w:after="100" w:afterLines="0"/>
        <w:jc w:val="center"/>
        <w:rPr>
          <w:rFonts w:hint="eastAsia" w:ascii="宋体" w:hAnsi="宋体"/>
          <w:sz w:val="24"/>
          <w:szCs w:val="24"/>
          <w:lang w:val="zh-CN"/>
        </w:rPr>
      </w:pPr>
    </w:p>
    <w:p w14:paraId="586808EB">
      <w:pPr>
        <w:spacing w:before="100" w:beforeLines="0" w:after="100" w:afterLines="0"/>
        <w:jc w:val="center"/>
        <w:rPr>
          <w:rFonts w:hint="eastAsia" w:ascii="宋体" w:hAnsi="宋体"/>
          <w:sz w:val="24"/>
          <w:szCs w:val="24"/>
          <w:lang w:val="zh-CN"/>
        </w:rPr>
      </w:pPr>
    </w:p>
    <w:p w14:paraId="6DC5269A">
      <w:pPr>
        <w:spacing w:before="100" w:beforeLines="0" w:after="100" w:afterLines="0"/>
        <w:jc w:val="center"/>
        <w:rPr>
          <w:rFonts w:hint="eastAsia" w:ascii="宋体" w:hAnsi="宋体"/>
          <w:sz w:val="24"/>
          <w:szCs w:val="24"/>
          <w:lang w:val="zh-CN"/>
        </w:rPr>
      </w:pPr>
    </w:p>
    <w:p w14:paraId="2EB95AEB">
      <w:pPr>
        <w:spacing w:before="100" w:beforeLines="0" w:after="100" w:afterLines="0"/>
        <w:jc w:val="center"/>
        <w:rPr>
          <w:rFonts w:hint="eastAsia" w:ascii="宋体" w:hAnsi="宋体"/>
          <w:sz w:val="24"/>
          <w:szCs w:val="24"/>
          <w:lang w:val="zh-CN"/>
        </w:rPr>
      </w:pPr>
    </w:p>
    <w:p w14:paraId="712E4F51">
      <w:pPr>
        <w:spacing w:before="100" w:beforeLines="0" w:after="100" w:afterLines="0"/>
        <w:jc w:val="center"/>
        <w:rPr>
          <w:rFonts w:hint="eastAsia" w:ascii="宋体" w:hAnsi="宋体"/>
          <w:sz w:val="24"/>
          <w:szCs w:val="24"/>
          <w:lang w:val="zh-CN"/>
        </w:rPr>
      </w:pPr>
    </w:p>
    <w:p w14:paraId="5DBAECD7">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1923DCF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32E56234">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县退役军人事务局为一级预算单位，主要职责是:</w:t>
      </w:r>
    </w:p>
    <w:p w14:paraId="17D43B1C">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（1）贯彻落实党中央关于退役军人思想政治、管理保障和安置优抚等工作的政策法规，褒扬彰显退役军人为党、国家和人民牺牲奉献的精神风范和价值导向；</w:t>
      </w:r>
    </w:p>
    <w:p w14:paraId="53C0F16E">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（2）负责军队转业干部、复员干部、离休退休干部、退役士兵、无军籍退休退职职工的移交安置工作和自主择业、就业退役军人服务管理工作；</w:t>
      </w:r>
    </w:p>
    <w:p w14:paraId="162E83E3">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（3）指导并组织开展退役军人教育培训工作，协调扶持退役军人和随军随调家属就业创业；</w:t>
      </w:r>
    </w:p>
    <w:p w14:paraId="2749172E">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（4）会同有关部门制定贯彻落实退役军人特殊保障政策的具体措施并组织实施；</w:t>
      </w:r>
    </w:p>
    <w:p w14:paraId="562FA4D9">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（5）组织协调落实退役军人医疗保障、社会保险等保障工作；</w:t>
      </w:r>
    </w:p>
    <w:p w14:paraId="39542FC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（6）指导并组织开展伤病残退役军人服务管理和抚恤工作，制定有关退役军人医疗、疗养、养老等机构的规划政策并组织实施，承担不适宜继续服役的伤病残军人相关工作；</w:t>
      </w:r>
    </w:p>
    <w:p w14:paraId="03D68478">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（7）指导并组织开展全县拥军优属工作。负责现役军人、退役军人、军队文职人员和军属优待、抚恤等工作，落实国民党抗战老兵等有关人员优待政策；</w:t>
      </w:r>
    </w:p>
    <w:p w14:paraId="74C0786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8）负责烈士退役军人荣誉奖励、军人公墓管理维护、纪念活动等工作，依法承担英雄烈士保护相关工作，审核拟列入全县重点保护单位的烈士纪念建筑物名录，总结表彰和宣扬退役军人工作单位和个人先进典型事迹；</w:t>
      </w:r>
    </w:p>
    <w:p w14:paraId="25ED32E3">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（9）指导并监督检查退役军人相关法律法规和政策措施的落实，组织开展退役军人权益维护和有关人员的帮扶援助工作；</w:t>
      </w:r>
    </w:p>
    <w:p w14:paraId="661C809B">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（10）完成县委、县政府及上级业务部门交办的其他事项；</w:t>
      </w:r>
    </w:p>
    <w:p w14:paraId="110C0880">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11）职能转变。县退役军人事务局应加强退役军人思想政治工作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14:paraId="06661EC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3C6FE07C">
      <w:pPr>
        <w:spacing w:before="100" w:beforeLines="0" w:after="100" w:afterLines="0"/>
        <w:ind w:firstLine="480" w:firstLineChars="200"/>
        <w:jc w:val="both"/>
        <w:rPr>
          <w:rFonts w:hint="eastAsia" w:ascii="宋体" w:hAnsi="宋体"/>
          <w:color w:val="auto"/>
          <w:sz w:val="24"/>
          <w:szCs w:val="24"/>
          <w:lang w:val="zh-CN"/>
        </w:rPr>
      </w:pPr>
      <w:r>
        <w:rPr>
          <w:rFonts w:hint="eastAsia" w:ascii="宋体" w:hAnsi="宋体"/>
          <w:color w:val="auto"/>
          <w:sz w:val="24"/>
          <w:szCs w:val="24"/>
          <w:lang w:val="zh-CN"/>
        </w:rPr>
        <w:t>根据其职责，华池县退役军人事务局内设3个股室。</w:t>
      </w:r>
    </w:p>
    <w:p w14:paraId="34F7C3BB">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1）综合股:负责局机关及服务中心日常运转。承担信息、保密、机要、统计、档案、政务公开、文稿起草、督察督办等工作。做好局机关和直属单位的干部人事、机构编制、职称评审、退休干部、平时考核、表彰奖励、干部教育培训、干部和人才队伍建设等工作。承担本部门机关党的建设、党风廉政建设、意识形态工作，指导做好退役军人党建、工会、共青团、妇联等群团组织工作。负责制定全县退役军人事业发展规划、年度计划，承办指导和监督退役军人事业各类资金的管理和发放工作，承担机关及直属单位财务、资产管理、内部审计，承担退役军人事业各类资金的管理和发放工作和退役军人事务系统信息化建设等工作；</w:t>
      </w:r>
    </w:p>
    <w:p w14:paraId="08F40552">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拥军优抚和褒扬纪念股:承担指导全县拥军优属工作，指导做好地方支持军队相关工作，承担现役军人、退役军人、军队文职人员和军属优待、抚恤等工作，承担不适宜继续服役的伤病残军人相关工作，组织协调落实退役军人医疗保障工作，负责退役军人伤残评定申报工作，指导落实有关退役军人医疗、养老等优抚保障机构的规划政策，落实国民党抗战老兵等有关人员优待政策。承担烈士褒扬、纪念设施管理保护工作，依法承担英雄烈士保护相关工作，拟定军人公墓建设规划、管理维护并指导实施，承担烈士评定材料审核上报事项，指导开展英雄烈士纪念活动，联系县退役军人事务局、烈士陵园并指导开展相关工作；</w:t>
      </w:r>
    </w:p>
    <w:p w14:paraId="7C6275CD">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3）安置就业和权益维护股:组织落实军队转业干部、复员干部、离休退休干部、退役士兵和无军籍退休退职职工的移交安置和自主择业、就业退役军人管理工作，落实分配我县的军队转业干部、符合条件的退役士兵年度安置计划。拟定自主择业军队转业干部、复员干部、自主就业退役士兵就业创业年度计划并组织实施，组织开展就业创业教育培训等工作，指导开展有关中介服务等工作，组织协调落实退役军人社会保险等待遇保障工作，协调指导随军随调家属就业创业工作。承担退役军人政策研究工作，负责法制宣传教育培训工作。承担图役军人思想政治、舆论宣传、总结表彰、荣誉奖励和信访维稳，监督检查退役军人相关法律法规和政策措施的落实情况，承担退役军人权益维护和有关人员的帮扶援助工作；</w:t>
      </w:r>
    </w:p>
    <w:p w14:paraId="71A90168">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749B7FC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一、收入支出决算总表（详见附件）</w:t>
      </w:r>
    </w:p>
    <w:p w14:paraId="5D75878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二、收入决算表（详见附件）</w:t>
      </w:r>
    </w:p>
    <w:p w14:paraId="6883E49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三、支出决算表（详见附件）</w:t>
      </w:r>
    </w:p>
    <w:p w14:paraId="08554E7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四、财政拨款收入支出决算总表（详见附件）</w:t>
      </w:r>
    </w:p>
    <w:p w14:paraId="05E4978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五、一般公共预算财政拨款支出决算表（详见附件）</w:t>
      </w:r>
    </w:p>
    <w:p w14:paraId="08708EB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六、一般公共预算财政拨款基本支出决算明细表（详见附件）</w:t>
      </w:r>
    </w:p>
    <w:p w14:paraId="67ACEF6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七、政府性基金预算财政拨款收入支出决算表（详见附件）</w:t>
      </w:r>
    </w:p>
    <w:p w14:paraId="2965D9C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八、国有资本经营预算财政拨款支出决算表（详见附件）</w:t>
      </w:r>
    </w:p>
    <w:p w14:paraId="569AEC4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经费支出决算表（详见附件）</w:t>
      </w:r>
    </w:p>
    <w:p w14:paraId="73762A98">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02DB905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3466EF4A">
      <w:pPr>
        <w:spacing w:before="100" w:beforeLines="0" w:after="100" w:afterLines="0"/>
        <w:jc w:val="left"/>
        <w:rPr>
          <w:rFonts w:hint="default" w:ascii="宋体" w:hAnsi="宋体" w:eastAsia="宋体"/>
          <w:color w:val="FF0000"/>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1480.34万元。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减少881.98万元,下降37.34%,主要原因是</w:t>
      </w:r>
      <w:r>
        <w:rPr>
          <w:rFonts w:hint="eastAsia" w:ascii="宋体" w:hAnsi="宋体"/>
          <w:color w:val="auto"/>
          <w:sz w:val="24"/>
          <w:szCs w:val="24"/>
          <w:lang w:val="en-US" w:eastAsia="zh-CN"/>
        </w:rPr>
        <w:t>人员变动，单位支出变少。</w:t>
      </w:r>
    </w:p>
    <w:p w14:paraId="786C3B3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15892CE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2023年度收入合计1449.36万元,其中：财政拨款收入1449.36万元,占100.00%。</w:t>
      </w:r>
    </w:p>
    <w:p w14:paraId="5E34E41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3B231E1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2023年度支出合计1480.34万元,其中：基本支出1480.34万元,占100.00%。</w:t>
      </w:r>
    </w:p>
    <w:p w14:paraId="6E7BFC7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643FC02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1480.34万元。与</w:t>
      </w:r>
      <w:r>
        <w:rPr>
          <w:rFonts w:hint="eastAsia" w:ascii="宋体" w:hAnsi="宋体"/>
          <w:color w:val="auto"/>
          <w:sz w:val="24"/>
          <w:szCs w:val="24"/>
          <w:lang w:val="en-US"/>
        </w:rPr>
        <w:t>上</w:t>
      </w:r>
      <w:r>
        <w:rPr>
          <w:rFonts w:hint="eastAsia" w:ascii="宋体" w:hAnsi="宋体"/>
          <w:color w:val="auto"/>
          <w:sz w:val="24"/>
          <w:szCs w:val="24"/>
          <w:lang w:val="zh-CN"/>
        </w:rPr>
        <w:t>年相比,各减少881.98万元,下降37.34%。主要原因是</w:t>
      </w:r>
      <w:r>
        <w:rPr>
          <w:rFonts w:hint="eastAsia" w:ascii="宋体" w:hAnsi="宋体"/>
          <w:color w:val="auto"/>
          <w:sz w:val="24"/>
          <w:szCs w:val="24"/>
          <w:lang w:val="en-US" w:eastAsia="zh-CN"/>
        </w:rPr>
        <w:t>人员变动，单位支出变少。</w:t>
      </w:r>
    </w:p>
    <w:p w14:paraId="7DBF3A3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144AD0A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79B48B3C">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2023年度一般公共预算财政拨款支出1480.34万元,较上年决算数减少240.42万元,下降13.97%。主要原因是人员变动，单位支出变少。</w:t>
      </w:r>
    </w:p>
    <w:p w14:paraId="0DD926BE">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6C380497">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1480.34万元，主要用于以下方面：一般公共服务支出0.02万元,占0.0%；社会保障和就业支出1439.67万元,占97.25%；卫生健康支出40.65万元,占2.75%。</w:t>
      </w:r>
    </w:p>
    <w:p w14:paraId="5295AE72">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01431AF6">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1480.34万元,支出决算为1480.34万元,完成年初预算的100.0%。其中：</w:t>
      </w:r>
    </w:p>
    <w:p w14:paraId="13C17C6E">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年初预算数为0.02万元,支出决算为0.02万元,完成年初预算的100.0%。</w:t>
      </w:r>
    </w:p>
    <w:p w14:paraId="1362F304">
      <w:pPr>
        <w:spacing w:before="100" w:beforeLines="0" w:after="100" w:afterLines="0"/>
        <w:jc w:val="left"/>
        <w:rPr>
          <w:rFonts w:hint="eastAsia" w:ascii="宋体" w:hAnsi="宋体"/>
          <w:color w:val="auto"/>
          <w:sz w:val="24"/>
          <w:szCs w:val="24"/>
          <w:lang w:val="en-US" w:eastAsia="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年初预算数为1439.67万元,支出决算为1439.67万元,完成年初预算的100.0%</w:t>
      </w:r>
      <w:r>
        <w:rPr>
          <w:rFonts w:hint="eastAsia" w:ascii="宋体" w:hAnsi="宋体"/>
          <w:color w:val="auto"/>
          <w:sz w:val="24"/>
          <w:szCs w:val="24"/>
          <w:lang w:val="en-US" w:eastAsia="zh-CN"/>
        </w:rPr>
        <w:t>.</w:t>
      </w:r>
    </w:p>
    <w:p w14:paraId="367136FF">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年初预算数为40.65万元,支出决算为40.65万元,完成年初预算的100.0%。</w:t>
      </w:r>
    </w:p>
    <w:p w14:paraId="3FB7382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68ED125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2023年度一般公共预算财政拨款基本支出1480.34万元。其中：</w:t>
      </w:r>
    </w:p>
    <w:p w14:paraId="5FBAB7E7">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1371.96万元,较上年决算数减少269.59万元,下降16.42%,主要原因是</w:t>
      </w:r>
      <w:r>
        <w:rPr>
          <w:rFonts w:hint="eastAsia" w:ascii="宋体" w:hAnsi="宋体"/>
          <w:color w:val="auto"/>
          <w:sz w:val="24"/>
          <w:szCs w:val="24"/>
          <w:lang w:val="en-US" w:eastAsia="zh-CN"/>
        </w:rPr>
        <w:t>人员变动，单位支出变少。</w:t>
      </w:r>
      <w:r>
        <w:rPr>
          <w:rFonts w:hint="eastAsia" w:ascii="宋体" w:hAnsi="宋体"/>
          <w:color w:val="auto"/>
          <w:sz w:val="24"/>
          <w:szCs w:val="24"/>
          <w:lang w:val="zh-CN"/>
        </w:rPr>
        <w:t>人员经费用途主要包括基本工资、津贴补贴、奖金、社会保障缴费。</w:t>
      </w:r>
    </w:p>
    <w:p w14:paraId="2C7877EF">
      <w:p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108.39万元,较上年决算数增加29.18万元,增长36.84%,主要原因是</w:t>
      </w:r>
      <w:r>
        <w:rPr>
          <w:rFonts w:hint="eastAsia" w:ascii="宋体" w:hAnsi="宋体"/>
          <w:color w:val="auto"/>
          <w:sz w:val="24"/>
          <w:szCs w:val="24"/>
          <w:lang w:val="en-US" w:eastAsia="zh-CN"/>
        </w:rPr>
        <w:t>人员变动，单位支出变少。</w:t>
      </w:r>
      <w:r>
        <w:rPr>
          <w:rFonts w:hint="eastAsia" w:ascii="宋体" w:hAnsi="宋体"/>
          <w:color w:val="auto"/>
          <w:sz w:val="24"/>
          <w:szCs w:val="24"/>
          <w:lang w:val="zh-CN"/>
        </w:rPr>
        <w:t>公用经费用途</w:t>
      </w:r>
      <w:r>
        <w:rPr>
          <w:rFonts w:hint="eastAsia" w:ascii="宋体" w:hAnsi="宋体"/>
          <w:color w:val="auto"/>
          <w:sz w:val="24"/>
          <w:szCs w:val="24"/>
          <w:lang w:val="en-US" w:eastAsia="zh-CN"/>
        </w:rPr>
        <w:t>主要包括</w:t>
      </w:r>
      <w:r>
        <w:rPr>
          <w:rFonts w:hint="eastAsia" w:ascii="宋体" w:hAnsi="宋体"/>
          <w:color w:val="auto"/>
          <w:sz w:val="24"/>
          <w:szCs w:val="24"/>
          <w:lang w:val="zh-CN"/>
        </w:rPr>
        <w:t>办公费、印刷费、</w:t>
      </w:r>
      <w:r>
        <w:rPr>
          <w:rFonts w:hint="eastAsia" w:ascii="宋体" w:hAnsi="宋体"/>
          <w:color w:val="auto"/>
          <w:sz w:val="24"/>
          <w:szCs w:val="24"/>
          <w:lang w:val="en-US" w:eastAsia="zh-CN"/>
        </w:rPr>
        <w:t>水费、电费</w:t>
      </w:r>
      <w:r>
        <w:rPr>
          <w:rFonts w:hint="eastAsia" w:ascii="宋体" w:hAnsi="宋体"/>
          <w:color w:val="auto"/>
          <w:sz w:val="24"/>
          <w:szCs w:val="24"/>
          <w:lang w:val="zh-CN"/>
        </w:rPr>
        <w:t>。</w:t>
      </w:r>
    </w:p>
    <w:p w14:paraId="0A78165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2476BD03">
      <w:pPr>
        <w:spacing w:before="100" w:beforeLines="0" w:after="100" w:afterLines="0"/>
        <w:jc w:val="left"/>
        <w:rPr>
          <w:rFonts w:hint="eastAsia" w:ascii="宋体" w:hAnsi="宋体"/>
          <w:color w:val="auto"/>
          <w:sz w:val="24"/>
          <w:szCs w:val="24"/>
          <w:lang w:val="zh-CN"/>
        </w:rPr>
      </w:pPr>
      <w:r>
        <w:rPr>
          <w:rFonts w:hint="eastAsia" w:ascii="宋体" w:hAnsi="宋体"/>
          <w:color w:val="FF0000"/>
          <w:sz w:val="24"/>
          <w:szCs w:val="24"/>
          <w:lang w:val="zh-CN"/>
        </w:rPr>
        <w:t>部本部门2023年度无政府性基金收入,也没有使用政府性基金安排的支出。</w:t>
      </w:r>
    </w:p>
    <w:p w14:paraId="20CA9D3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4B4C8F2D">
      <w:pPr>
        <w:spacing w:before="100" w:beforeLines="0" w:after="100" w:afterLines="0"/>
        <w:jc w:val="left"/>
        <w:rPr>
          <w:rFonts w:hint="eastAsia" w:ascii="宋体" w:hAnsi="宋体"/>
          <w:color w:val="auto"/>
          <w:sz w:val="24"/>
          <w:szCs w:val="24"/>
          <w:lang w:val="zh-CN"/>
        </w:rPr>
      </w:pPr>
      <w:r>
        <w:rPr>
          <w:rFonts w:hint="eastAsia" w:ascii="宋体" w:hAnsi="宋体"/>
          <w:color w:val="FF0000"/>
          <w:sz w:val="24"/>
          <w:szCs w:val="24"/>
          <w:lang w:val="zh-CN"/>
        </w:rPr>
        <w:t>本部门2023年度没有使用国有资本经营预算安排的支出。</w:t>
      </w:r>
    </w:p>
    <w:p w14:paraId="64385006">
      <w:pPr>
        <w:spacing w:before="100" w:beforeLines="0" w:after="100" w:afterLines="0"/>
        <w:jc w:val="left"/>
        <w:rPr>
          <w:rFonts w:hint="eastAsia" w:ascii="宋体" w:hAnsi="宋体"/>
          <w:color w:val="FF0000"/>
          <w:sz w:val="24"/>
          <w:szCs w:val="24"/>
          <w:lang w:val="zh-CN"/>
        </w:rPr>
      </w:pPr>
    </w:p>
    <w:p w14:paraId="5E18B23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737E1D94">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55A4B3A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预算数为0.42万元,支出决算为0.00万元,决算数小于预算数的主要原因是</w:t>
      </w:r>
      <w:r>
        <w:rPr>
          <w:rFonts w:hint="eastAsia" w:ascii="宋体" w:hAnsi="宋体"/>
          <w:color w:val="auto"/>
          <w:sz w:val="24"/>
          <w:szCs w:val="24"/>
          <w:lang w:val="en-US" w:eastAsia="zh-CN"/>
        </w:rPr>
        <w:t>我单位公务接待较少</w:t>
      </w:r>
      <w:r>
        <w:rPr>
          <w:rFonts w:hint="eastAsia" w:ascii="宋体" w:hAnsi="宋体"/>
          <w:color w:val="auto"/>
          <w:sz w:val="24"/>
          <w:szCs w:val="24"/>
          <w:lang w:val="zh-CN"/>
        </w:rPr>
        <w:t>,</w:t>
      </w:r>
      <w:r>
        <w:rPr>
          <w:rFonts w:hint="eastAsia" w:ascii="宋体" w:hAnsi="宋体"/>
          <w:color w:val="auto"/>
          <w:sz w:val="24"/>
          <w:szCs w:val="24"/>
          <w:lang w:val="en-US" w:eastAsia="zh-CN"/>
        </w:rPr>
        <w:t>公务接待支出费用少。</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我单位公务接待较少</w:t>
      </w:r>
      <w:r>
        <w:rPr>
          <w:rFonts w:hint="eastAsia" w:ascii="宋体" w:hAnsi="宋体"/>
          <w:color w:val="auto"/>
          <w:sz w:val="24"/>
          <w:szCs w:val="24"/>
          <w:lang w:val="zh-CN"/>
        </w:rPr>
        <w:t>,</w:t>
      </w:r>
      <w:r>
        <w:rPr>
          <w:rFonts w:hint="eastAsia" w:ascii="宋体" w:hAnsi="宋体"/>
          <w:color w:val="auto"/>
          <w:sz w:val="24"/>
          <w:szCs w:val="24"/>
          <w:lang w:val="en-US" w:eastAsia="zh-CN"/>
        </w:rPr>
        <w:t>公务接待支出费用少。</w:t>
      </w:r>
    </w:p>
    <w:p w14:paraId="1A20D66C">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38C7B846">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14:paraId="5B3E3774">
      <w:pPr>
        <w:spacing w:before="100" w:beforeLines="0" w:after="100" w:afterLines="0"/>
        <w:jc w:val="left"/>
        <w:rPr>
          <w:rFonts w:hint="eastAsia" w:ascii="宋体" w:hAnsi="宋体" w:eastAsia="宋体"/>
          <w:color w:val="auto"/>
          <w:sz w:val="24"/>
          <w:szCs w:val="24"/>
          <w:lang w:val="zh-CN" w:eastAsia="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eastAsia="zh-CN"/>
        </w:rPr>
        <w:t>。</w:t>
      </w:r>
    </w:p>
    <w:p w14:paraId="00B7E2F1">
      <w:pPr>
        <w:spacing w:before="100" w:beforeLines="0" w:after="100" w:afterLines="0"/>
        <w:jc w:val="left"/>
        <w:rPr>
          <w:rFonts w:hint="eastAsia" w:ascii="宋体" w:hAnsi="宋体" w:eastAsia="宋体"/>
          <w:color w:val="auto"/>
          <w:sz w:val="24"/>
          <w:szCs w:val="24"/>
          <w:lang w:val="zh-CN" w:eastAsia="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eastAsia="zh-CN"/>
        </w:rPr>
        <w:t>。</w:t>
      </w:r>
    </w:p>
    <w:p w14:paraId="68E815A9">
      <w:pPr>
        <w:spacing w:before="100" w:beforeLines="0" w:after="100" w:afterLines="0"/>
        <w:jc w:val="left"/>
        <w:rPr>
          <w:rFonts w:hint="eastAsia" w:ascii="宋体" w:hAnsi="宋体" w:eastAsia="宋体"/>
          <w:color w:val="auto"/>
          <w:sz w:val="24"/>
          <w:szCs w:val="24"/>
          <w:lang w:val="zh-CN" w:eastAsia="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eastAsia="zh-CN"/>
        </w:rPr>
        <w:t>。</w:t>
      </w:r>
    </w:p>
    <w:p w14:paraId="19CBC8FA">
      <w:pPr>
        <w:numPr>
          <w:ilvl w:val="0"/>
          <w:numId w:val="3"/>
        </w:num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年预算数为0.42万元,支出决算为0.00万元,决算数小于预算数的主要原因是</w:t>
      </w:r>
      <w:r>
        <w:rPr>
          <w:rFonts w:hint="eastAsia" w:ascii="宋体" w:hAnsi="宋体"/>
          <w:color w:val="auto"/>
          <w:sz w:val="24"/>
          <w:szCs w:val="24"/>
          <w:lang w:val="en-US" w:eastAsia="zh-CN"/>
        </w:rPr>
        <w:t>我单位公务接待较少</w:t>
      </w:r>
      <w:r>
        <w:rPr>
          <w:rFonts w:hint="eastAsia" w:ascii="宋体" w:hAnsi="宋体"/>
          <w:color w:val="auto"/>
          <w:sz w:val="24"/>
          <w:szCs w:val="24"/>
          <w:lang w:val="zh-CN"/>
        </w:rPr>
        <w:t>,</w:t>
      </w:r>
      <w:r>
        <w:rPr>
          <w:rFonts w:hint="eastAsia" w:ascii="宋体" w:hAnsi="宋体"/>
          <w:color w:val="auto"/>
          <w:sz w:val="24"/>
          <w:szCs w:val="24"/>
          <w:lang w:val="en-US" w:eastAsia="zh-CN"/>
        </w:rPr>
        <w:t>公务接待支出费用少。</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eastAsia="zh-CN"/>
        </w:rPr>
        <w:t>。</w:t>
      </w:r>
    </w:p>
    <w:p w14:paraId="768398C9">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p>
    <w:p w14:paraId="1CA2A094">
      <w:pPr>
        <w:numPr>
          <w:ilvl w:val="0"/>
          <w:numId w:val="0"/>
        </w:numPr>
        <w:spacing w:before="100" w:beforeLines="0" w:after="100" w:afterLines="0"/>
        <w:jc w:val="left"/>
        <w:rPr>
          <w:rFonts w:hint="default" w:ascii="宋体" w:hAnsi="宋体"/>
          <w:color w:val="FF0000"/>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14:paraId="2BDA9C14">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4C3B550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3828691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4E4B8647">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2023年度本部门机关运行经费支出108.39万元,机关运行经费主要用于开支办公费、邮电费、电费、水费、印刷费、差旅费等日常公务支出。机关运行经费较上年决算数增加29.18万元,增长36.84%,</w:t>
      </w:r>
      <w:r>
        <w:rPr>
          <w:rFonts w:hint="eastAsia" w:ascii="宋体" w:hAnsi="宋体"/>
          <w:color w:val="auto"/>
          <w:sz w:val="24"/>
          <w:szCs w:val="24"/>
          <w:lang w:val="en-US" w:eastAsia="zh-CN"/>
        </w:rPr>
        <w:t>人员不变动，机关运行经费</w:t>
      </w:r>
      <w:r>
        <w:rPr>
          <w:rFonts w:hint="eastAsia" w:ascii="宋体" w:hAnsi="宋体"/>
          <w:color w:val="auto"/>
          <w:sz w:val="24"/>
          <w:szCs w:val="24"/>
          <w:lang w:val="zh-CN"/>
        </w:rPr>
        <w:t>量增加。</w:t>
      </w:r>
    </w:p>
    <w:p w14:paraId="047909D3">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本年度会议费支出0.60万元,较上年决算数增加0.6万元,增长</w:t>
      </w:r>
      <w:r>
        <w:rPr>
          <w:rFonts w:hint="eastAsia" w:ascii="宋体" w:hAnsi="宋体"/>
          <w:color w:val="auto"/>
          <w:sz w:val="24"/>
          <w:szCs w:val="24"/>
          <w:lang w:val="en-US" w:eastAsia="zh-CN"/>
        </w:rPr>
        <w:t>100</w:t>
      </w:r>
      <w:r>
        <w:rPr>
          <w:rFonts w:hint="eastAsia" w:ascii="宋体" w:hAnsi="宋体"/>
          <w:color w:val="auto"/>
          <w:sz w:val="24"/>
          <w:szCs w:val="24"/>
          <w:lang w:val="zh-CN"/>
        </w:rPr>
        <w:t>%,主要原因是</w:t>
      </w:r>
      <w:r>
        <w:rPr>
          <w:rFonts w:hint="eastAsia" w:ascii="宋体" w:hAnsi="宋体"/>
          <w:color w:val="auto"/>
          <w:sz w:val="24"/>
          <w:szCs w:val="24"/>
          <w:lang w:val="en-US" w:eastAsia="zh-CN"/>
        </w:rPr>
        <w:t>本单位召开座谈会租用会议室费用</w:t>
      </w:r>
      <w:r>
        <w:rPr>
          <w:rFonts w:hint="eastAsia" w:ascii="宋体" w:hAnsi="宋体"/>
          <w:color w:val="auto"/>
          <w:sz w:val="24"/>
          <w:szCs w:val="24"/>
          <w:lang w:val="zh-CN"/>
        </w:rPr>
        <w:t>。</w:t>
      </w:r>
      <w:r>
        <w:rPr>
          <w:rFonts w:hint="eastAsia" w:ascii="宋体" w:hAnsi="宋体"/>
          <w:color w:val="auto"/>
          <w:sz w:val="24"/>
          <w:szCs w:val="24"/>
          <w:lang w:val="zh-CN"/>
        </w:rPr>
        <w:t>本年度培训费支出0.56万元,较上年决算数减少24.79万元,下降97.79%,主要原因是</w:t>
      </w:r>
      <w:r>
        <w:rPr>
          <w:rFonts w:hint="eastAsia" w:ascii="宋体" w:hAnsi="宋体"/>
          <w:color w:val="auto"/>
          <w:sz w:val="24"/>
          <w:szCs w:val="24"/>
          <w:lang w:val="en-US" w:eastAsia="zh-CN"/>
        </w:rPr>
        <w:t>本年度单位职工培训次数少，培训经费增加</w:t>
      </w:r>
      <w:r>
        <w:rPr>
          <w:rFonts w:hint="eastAsia" w:ascii="宋体" w:hAnsi="宋体"/>
          <w:color w:val="auto"/>
          <w:sz w:val="24"/>
          <w:szCs w:val="24"/>
          <w:lang w:val="zh-CN"/>
        </w:rPr>
        <w:t>。</w:t>
      </w:r>
    </w:p>
    <w:p w14:paraId="6C18BD5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7CB6639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我单位2023年度无政府采购相关经费。</w:t>
      </w:r>
    </w:p>
    <w:p w14:paraId="2CF9871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3723144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62CAD66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717D0D6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3958CE06">
      <w:pPr>
        <w:spacing w:before="100" w:beforeLines="0" w:after="100" w:afterLines="0"/>
        <w:jc w:val="left"/>
        <w:rPr>
          <w:rFonts w:hint="eastAsia" w:ascii="宋体" w:hAnsi="宋体"/>
          <w:color w:val="FF0000"/>
          <w:sz w:val="24"/>
          <w:szCs w:val="24"/>
          <w:lang w:val="zh-CN"/>
        </w:rPr>
      </w:pPr>
    </w:p>
    <w:p w14:paraId="09017D3D">
      <w:pPr>
        <w:spacing w:before="100" w:beforeLines="0" w:after="100" w:afterLines="0"/>
        <w:jc w:val="left"/>
        <w:rPr>
          <w:rFonts w:hint="eastAsia" w:ascii="宋体" w:hAnsi="宋体"/>
          <w:color w:val="auto"/>
          <w:sz w:val="24"/>
          <w:szCs w:val="24"/>
          <w:lang w:val="zh-CN"/>
        </w:rPr>
      </w:pPr>
    </w:p>
    <w:p w14:paraId="47CBEBE7">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004CF5E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69A7703B">
      <w:pPr>
        <w:keepNext/>
        <w:keepLines/>
        <w:suppressLineNumbers/>
        <w:spacing w:beforeLines="0" w:afterLines="0"/>
        <w:ind w:firstLine="480" w:firstLineChars="200"/>
        <w:jc w:val="both"/>
        <w:rPr>
          <w:rFonts w:hint="default" w:ascii="仿宋_GB2312" w:hAnsi="仿宋_GB2312" w:eastAsia="宋体" w:cs="仿宋_GB2312"/>
          <w:color w:val="auto"/>
          <w:sz w:val="32"/>
          <w:szCs w:val="32"/>
          <w:lang w:val="en-US" w:eastAsia="zh-CN"/>
        </w:rPr>
      </w:pPr>
      <w:r>
        <w:rPr>
          <w:rFonts w:hint="eastAsia" w:ascii="宋体" w:hAnsi="宋体" w:eastAsia="宋体" w:cs="宋体"/>
          <w:color w:val="000000"/>
          <w:kern w:val="0"/>
          <w:sz w:val="24"/>
          <w:szCs w:val="24"/>
          <w:lang w:val="en-US"/>
        </w:rPr>
        <w:t>根</w:t>
      </w:r>
      <w:r>
        <w:rPr>
          <w:rFonts w:hint="eastAsia" w:ascii="宋体" w:hAnsi="宋体" w:eastAsia="宋体" w:cs="宋体"/>
          <w:color w:val="auto"/>
          <w:kern w:val="0"/>
          <w:sz w:val="24"/>
          <w:szCs w:val="24"/>
          <w:lang w:val="en-US"/>
        </w:rPr>
        <w:t>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年度一般公共预算项目支出全面开展绩效自评,其中,一级项目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个,共涉及资金1449</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rPr>
        <w:t>36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个政府性基金预算项目开展绩效自评,共涉及资金</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,占政府性基金预算项目支出总额的</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%。组织对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个国有资本经营预算项目开展绩效自评,共涉及资金</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,占国有资本经营预算项目支出总额的</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%。组织对</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个项目开展了部门评价,涉及一般公共预算支出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,政府性基金预算支出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,国有资本经营预算支出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。从评价情况来看,</w:t>
      </w:r>
      <w:r>
        <w:rPr>
          <w:rFonts w:hint="eastAsia" w:ascii="宋体" w:hAnsi="宋体" w:cs="宋体"/>
          <w:color w:val="auto"/>
          <w:kern w:val="0"/>
          <w:sz w:val="24"/>
          <w:szCs w:val="24"/>
          <w:lang w:val="en-US" w:eastAsia="zh-CN"/>
        </w:rPr>
        <w:t>绩效评价结果良好。</w:t>
      </w:r>
    </w:p>
    <w:p w14:paraId="457CD0B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73B88601">
      <w:pPr>
        <w:keepNext/>
        <w:keepLines/>
        <w:suppressLineNumbers/>
        <w:spacing w:beforeLines="0" w:afterLines="0"/>
        <w:ind w:firstLine="360" w:firstLineChars="15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000000"/>
          <w:kern w:val="0"/>
          <w:sz w:val="24"/>
          <w:szCs w:val="24"/>
          <w:highlight w:val="none"/>
          <w:lang w:val="en-US"/>
        </w:rPr>
        <w:t>我部门在</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年度部门决算中</w:t>
      </w:r>
      <w:r>
        <w:rPr>
          <w:rFonts w:hint="eastAsia" w:ascii="宋体" w:hAnsi="宋体" w:eastAsia="宋体" w:cs="宋体"/>
          <w:color w:val="auto"/>
          <w:kern w:val="0"/>
          <w:sz w:val="24"/>
          <w:szCs w:val="24"/>
          <w:highlight w:val="none"/>
          <w:lang w:val="en-US"/>
        </w:rPr>
        <w:t>反映</w:t>
      </w:r>
      <w:r>
        <w:rPr>
          <w:rFonts w:hint="eastAsia" w:ascii="宋体" w:hAnsi="宋体" w:cs="宋体"/>
          <w:color w:val="auto"/>
          <w:kern w:val="0"/>
          <w:sz w:val="24"/>
          <w:szCs w:val="24"/>
          <w:highlight w:val="none"/>
          <w:lang w:val="en-US" w:eastAsia="zh-CN"/>
        </w:rPr>
        <w:t>整体</w:t>
      </w:r>
      <w:r>
        <w:rPr>
          <w:rFonts w:hint="eastAsia" w:ascii="宋体" w:hAnsi="宋体" w:eastAsia="宋体" w:cs="宋体"/>
          <w:color w:val="auto"/>
          <w:kern w:val="0"/>
          <w:sz w:val="24"/>
          <w:szCs w:val="24"/>
          <w:highlight w:val="none"/>
          <w:lang w:val="en-US"/>
        </w:rPr>
        <w:t>绩效自评</w:t>
      </w:r>
      <w:r>
        <w:rPr>
          <w:rFonts w:hint="eastAsia" w:ascii="宋体" w:hAnsi="宋体" w:eastAsia="宋体" w:cs="宋体"/>
          <w:color w:val="000000"/>
          <w:kern w:val="0"/>
          <w:sz w:val="24"/>
          <w:szCs w:val="24"/>
          <w:highlight w:val="none"/>
          <w:lang w:val="en-US"/>
        </w:rPr>
        <w:t>结果。</w:t>
      </w:r>
    </w:p>
    <w:p w14:paraId="115E88A2">
      <w:pPr>
        <w:keepNext/>
        <w:keepLines/>
        <w:suppressLineNumbers/>
        <w:spacing w:beforeLines="0" w:afterLines="0"/>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auto"/>
          <w:kern w:val="0"/>
          <w:sz w:val="24"/>
          <w:szCs w:val="24"/>
          <w:lang w:val="en-US" w:eastAsia="zh-CN"/>
        </w:rPr>
        <w:t>1.</w:t>
      </w:r>
      <w:r>
        <w:rPr>
          <w:rFonts w:hint="eastAsia" w:ascii="宋体" w:hAnsi="宋体" w:cs="宋体"/>
          <w:color w:val="auto"/>
          <w:kern w:val="0"/>
          <w:sz w:val="24"/>
          <w:szCs w:val="24"/>
          <w:lang w:val="en-US" w:eastAsia="zh-CN"/>
        </w:rPr>
        <w:t>整体</w:t>
      </w:r>
      <w:r>
        <w:rPr>
          <w:rFonts w:hint="eastAsia" w:ascii="宋体" w:hAnsi="宋体" w:eastAsia="宋体" w:cs="宋体"/>
          <w:color w:val="auto"/>
          <w:kern w:val="0"/>
          <w:sz w:val="24"/>
          <w:szCs w:val="24"/>
          <w:lang w:val="en-US"/>
        </w:rPr>
        <w:t>绩效自评情况：根据年初设定的绩效目标,项目绩效自评得分为</w:t>
      </w:r>
      <w:r>
        <w:rPr>
          <w:rFonts w:hint="eastAsia" w:ascii="宋体" w:hAnsi="宋体" w:cs="宋体"/>
          <w:color w:val="auto"/>
          <w:kern w:val="0"/>
          <w:sz w:val="24"/>
          <w:szCs w:val="24"/>
          <w:lang w:val="en-US" w:eastAsia="zh-CN"/>
        </w:rPr>
        <w:t>99</w:t>
      </w:r>
      <w:r>
        <w:rPr>
          <w:rFonts w:hint="eastAsia" w:ascii="宋体" w:hAnsi="宋体" w:eastAsia="宋体" w:cs="宋体"/>
          <w:color w:val="auto"/>
          <w:kern w:val="0"/>
          <w:sz w:val="24"/>
          <w:szCs w:val="24"/>
          <w:lang w:val="en-US"/>
        </w:rPr>
        <w:t>分。</w:t>
      </w:r>
      <w:r>
        <w:rPr>
          <w:rFonts w:hint="eastAsia" w:ascii="宋体" w:hAnsi="宋体" w:cs="宋体"/>
          <w:color w:val="auto"/>
          <w:kern w:val="0"/>
          <w:sz w:val="24"/>
          <w:szCs w:val="24"/>
          <w:lang w:val="en-US" w:eastAsia="zh-CN"/>
        </w:rPr>
        <w:t>整体</w:t>
      </w:r>
      <w:r>
        <w:rPr>
          <w:rFonts w:hint="eastAsia" w:ascii="宋体" w:hAnsi="宋体" w:eastAsia="宋体" w:cs="宋体"/>
          <w:color w:val="auto"/>
          <w:kern w:val="0"/>
          <w:sz w:val="24"/>
          <w:szCs w:val="24"/>
          <w:lang w:val="en-US"/>
        </w:rPr>
        <w:t>全年预算数</w:t>
      </w:r>
      <w:r>
        <w:rPr>
          <w:rFonts w:hint="eastAsia" w:ascii="宋体" w:hAnsi="宋体" w:eastAsia="宋体" w:cs="宋体"/>
          <w:color w:val="auto"/>
          <w:kern w:val="0"/>
          <w:sz w:val="24"/>
          <w:szCs w:val="24"/>
          <w:lang w:val="en-US"/>
        </w:rPr>
        <w:t>为</w:t>
      </w:r>
      <w:r>
        <w:rPr>
          <w:rFonts w:hint="eastAsia" w:ascii="宋体" w:hAnsi="宋体" w:cs="宋体"/>
          <w:color w:val="auto"/>
          <w:kern w:val="0"/>
          <w:sz w:val="24"/>
          <w:szCs w:val="24"/>
          <w:lang w:val="en-US" w:eastAsia="zh-CN"/>
        </w:rPr>
        <w:t>1449.36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1480.34</w:t>
      </w:r>
      <w:r>
        <w:rPr>
          <w:rFonts w:hint="eastAsia" w:ascii="宋体" w:hAnsi="宋体" w:eastAsia="宋体" w:cs="宋体"/>
          <w:color w:val="auto"/>
          <w:kern w:val="0"/>
          <w:sz w:val="24"/>
          <w:szCs w:val="24"/>
          <w:lang w:val="en-US" w:eastAsia="zh-CN"/>
        </w:rPr>
        <w:t>万</w:t>
      </w:r>
      <w:r>
        <w:rPr>
          <w:rFonts w:hint="eastAsia" w:ascii="宋体" w:hAnsi="宋体" w:eastAsia="宋体" w:cs="宋体"/>
          <w:color w:val="000000"/>
          <w:kern w:val="0"/>
          <w:sz w:val="24"/>
          <w:szCs w:val="24"/>
          <w:lang w:val="en-US" w:eastAsia="zh-CN"/>
        </w:rPr>
        <w:t>元</w:t>
      </w:r>
      <w:r>
        <w:rPr>
          <w:rFonts w:hint="eastAsia" w:ascii="宋体" w:hAnsi="宋体" w:eastAsia="宋体" w:cs="宋体"/>
          <w:color w:val="000000"/>
          <w:kern w:val="0"/>
          <w:sz w:val="24"/>
          <w:szCs w:val="24"/>
          <w:lang w:val="en-US"/>
        </w:rPr>
        <w:t>,完成预算</w:t>
      </w:r>
      <w:r>
        <w:rPr>
          <w:rFonts w:hint="eastAsia" w:ascii="宋体" w:hAnsi="宋体" w:eastAsia="宋体" w:cs="宋体"/>
          <w:color w:val="auto"/>
          <w:kern w:val="0"/>
          <w:sz w:val="24"/>
          <w:szCs w:val="24"/>
          <w:lang w:val="en-US"/>
        </w:rPr>
        <w:t>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w:t>
      </w:r>
      <w:r>
        <w:rPr>
          <w:rFonts w:hint="eastAsia" w:ascii="宋体" w:hAnsi="宋体" w:eastAsia="宋体" w:cs="宋体"/>
          <w:color w:val="000000"/>
          <w:kern w:val="0"/>
          <w:sz w:val="24"/>
          <w:szCs w:val="24"/>
          <w:lang w:val="en-US"/>
        </w:rPr>
        <w:t>整体绩效目标完成情况：整体绩效目标完成情况：加强管理，合理安排各项支出，保障各项工作正常运转。发现的主要问题及原因：1预算绩效管理经验需要进一步积累。因为预算绩效管理工作具有政策性强、专业性强、涉及面广、操作难度大等特点，经验不足，导致工作多走许多弯路，影响工作效果。2本单位严重缺乏专业财务人员，对财政相关规定和业务不够熟练。下一步改进措施：1 建立健全财政各项资金管理制度，严格执行财务管理制度，做到了财务处理及时，会计核算规范，严格按照计划进度支付。2 对财务人员定期进行培训，提高财务人员的业务能力。</w:t>
      </w:r>
    </w:p>
    <w:p w14:paraId="4730DAC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30B7A387">
      <w:pPr>
        <w:keepNext/>
        <w:keepLines/>
        <w:suppressLineNumbers/>
        <w:spacing w:beforeLines="0" w:afterLines="0"/>
        <w:ind w:firstLine="480" w:firstLineChars="200"/>
        <w:jc w:val="both"/>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见附件</w:t>
      </w:r>
    </w:p>
    <w:p w14:paraId="3E6D0AA2">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1AE23B7E">
      <w:pPr>
        <w:spacing w:before="100" w:beforeLines="0" w:after="100" w:afterLines="0"/>
        <w:jc w:val="both"/>
        <w:rPr>
          <w:rFonts w:hint="eastAsia" w:ascii="宋体" w:hAnsi="宋体" w:eastAsia="宋体" w:cs="宋体"/>
          <w:color w:val="auto"/>
          <w:sz w:val="24"/>
          <w:szCs w:val="24"/>
          <w:lang w:val="zh-CN"/>
        </w:rPr>
      </w:pPr>
      <w:bookmarkStart w:id="0" w:name="_GoBack"/>
      <w:bookmarkEnd w:id="0"/>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50D39D7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275B431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53F7AE9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068E1D96">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7D38D0C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2E9821E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088BAC3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6FCDB7D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24D8C7C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211D2B5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078309E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A1B4A8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A93ADE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2BB83D7C">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1NjE5NWQ4Nzg3M2NkNWQ1ZjA2ZWY4MWQ2MjE0ZDQifQ=="/>
  </w:docVars>
  <w:rsids>
    <w:rsidRoot w:val="00000000"/>
    <w:rsid w:val="048554B3"/>
    <w:rsid w:val="19E039E2"/>
    <w:rsid w:val="5910043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a2a9cc2d-9ef8-455f-a22c-8e2d01e95686}">
  <ds:schemaRefs/>
</ds:datastoreItem>
</file>

<file path=customXml/itemProps2.xml><?xml version="1.0" encoding="utf-8"?>
<ds:datastoreItem xmlns:ds="http://schemas.openxmlformats.org/officeDocument/2006/customXml" ds:itemID="{00cab26b-ca88-4266-b5bd-ca5eb72365e5}">
  <ds:schemaRefs/>
</ds:datastoreItem>
</file>

<file path=customXml/itemProps3.xml><?xml version="1.0" encoding="utf-8"?>
<ds:datastoreItem xmlns:ds="http://schemas.openxmlformats.org/officeDocument/2006/customXml" ds:itemID="{293b481a-cfd7-42f1-b171-4768845daef4}">
  <ds:schemaRefs/>
</ds:datastoreItem>
</file>

<file path=customXml/itemProps4.xml><?xml version="1.0" encoding="utf-8"?>
<ds:datastoreItem xmlns:ds="http://schemas.openxmlformats.org/officeDocument/2006/customXml" ds:itemID="{bc81d5cb-e346-4749-adbf-15d19e430303}">
  <ds:schemaRefs/>
</ds:datastoreItem>
</file>

<file path=customXml/itemProps5.xml><?xml version="1.0" encoding="utf-8"?>
<ds:datastoreItem xmlns:ds="http://schemas.openxmlformats.org/officeDocument/2006/customXml" ds:itemID="{eebe2b14-78f3-4f3c-a1b8-8b6eb27e2b12}">
  <ds:schemaRefs/>
</ds:datastoreItem>
</file>

<file path=customXml/itemProps6.xml><?xml version="1.0" encoding="utf-8"?>
<ds:datastoreItem xmlns:ds="http://schemas.openxmlformats.org/officeDocument/2006/customXml" ds:itemID="{cf503bf9-464c-4843-8e7a-e6b4b7e97bc7}">
  <ds:schemaRefs/>
</ds:datastoreItem>
</file>

<file path=customXml/itemProps7.xml><?xml version="1.0" encoding="utf-8"?>
<ds:datastoreItem xmlns:ds="http://schemas.openxmlformats.org/officeDocument/2006/customXml" ds:itemID="{fc0f3388-ae7f-4faa-8e41-d0efa0355c94}">
  <ds:schemaRefs/>
</ds:datastoreItem>
</file>

<file path=customXml/itemProps8.xml><?xml version="1.0" encoding="utf-8"?>
<ds:datastoreItem xmlns:ds="http://schemas.openxmlformats.org/officeDocument/2006/customXml" ds:itemID="{1ea9e06a-dbf3-4e14-a1e6-798cf4e0c3d3}">
  <ds:schemaRefs/>
</ds:datastoreItem>
</file>

<file path=customXml/itemProps9.xml><?xml version="1.0" encoding="utf-8"?>
<ds:datastoreItem xmlns:ds="http://schemas.openxmlformats.org/officeDocument/2006/customXml" ds:itemID="{8f92fc74-69bd-4260-95c7-57d539b2a19d}">
  <ds:schemaRefs/>
</ds:datastoreItem>
</file>

<file path=docProps/app.xml><?xml version="1.0" encoding="utf-8"?>
<Properties xmlns="http://schemas.openxmlformats.org/officeDocument/2006/extended-properties" xmlns:vt="http://schemas.openxmlformats.org/officeDocument/2006/docPropsVTypes">
  <Template>Normal.dotm</Template>
  <Pages>9</Pages>
  <Words>8784</Words>
  <Characters>9971</Characters>
  <Lines>0</Lines>
  <Paragraphs>0</Paragraphs>
  <TotalTime>28</TotalTime>
  <ScaleCrop>false</ScaleCrop>
  <LinksUpToDate>false</LinksUpToDate>
  <CharactersWithSpaces>9975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lenovo</cp:lastModifiedBy>
  <dcterms:modified xsi:type="dcterms:W3CDTF">2024-09-23T01:35:04Z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