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AA5E6">
      <w:pPr>
        <w:spacing w:before="100" w:beforeLines="0" w:after="100" w:afterLines="0"/>
        <w:jc w:val="center"/>
        <w:rPr>
          <w:rFonts w:hint="eastAsia" w:ascii="宋体" w:hAnsi="宋体"/>
          <w:sz w:val="24"/>
          <w:szCs w:val="24"/>
          <w:lang w:val="zh-CN"/>
        </w:rPr>
      </w:pPr>
    </w:p>
    <w:p w14:paraId="674045E1">
      <w:pPr>
        <w:spacing w:before="100" w:beforeLines="0" w:after="100" w:afterLines="0"/>
        <w:jc w:val="center"/>
        <w:rPr>
          <w:rFonts w:hint="eastAsia" w:ascii="宋体" w:hAnsi="宋体"/>
          <w:sz w:val="24"/>
          <w:szCs w:val="24"/>
          <w:lang w:val="zh-CN"/>
        </w:rPr>
      </w:pPr>
    </w:p>
    <w:p w14:paraId="7B097B9A">
      <w:pPr>
        <w:spacing w:before="100" w:beforeLines="0" w:after="100" w:afterLines="0"/>
        <w:jc w:val="center"/>
        <w:rPr>
          <w:rFonts w:hint="eastAsia" w:ascii="宋体" w:hAnsi="宋体"/>
          <w:sz w:val="24"/>
          <w:szCs w:val="24"/>
          <w:lang w:val="zh-CN"/>
        </w:rPr>
      </w:pPr>
    </w:p>
    <w:p w14:paraId="08BE9900">
      <w:pPr>
        <w:spacing w:before="100" w:beforeLines="0" w:after="100" w:afterLines="0"/>
        <w:jc w:val="center"/>
        <w:rPr>
          <w:rFonts w:hint="eastAsia" w:ascii="宋体" w:hAnsi="宋体"/>
          <w:sz w:val="24"/>
          <w:szCs w:val="24"/>
          <w:lang w:val="zh-CN"/>
        </w:rPr>
      </w:pPr>
    </w:p>
    <w:p w14:paraId="133C3BB3">
      <w:pPr>
        <w:spacing w:before="100" w:beforeLines="0" w:after="100" w:afterLines="0"/>
        <w:jc w:val="center"/>
        <w:rPr>
          <w:rFonts w:hint="eastAsia" w:ascii="宋体" w:hAnsi="宋体"/>
          <w:sz w:val="24"/>
          <w:szCs w:val="24"/>
          <w:lang w:val="zh-CN"/>
        </w:rPr>
      </w:pPr>
    </w:p>
    <w:p w14:paraId="660A13BF">
      <w:pPr>
        <w:spacing w:before="100" w:beforeLines="0" w:after="100" w:afterLines="0"/>
        <w:jc w:val="center"/>
        <w:rPr>
          <w:rFonts w:hint="eastAsia" w:ascii="宋体" w:hAnsi="宋体"/>
          <w:sz w:val="24"/>
          <w:szCs w:val="24"/>
          <w:lang w:val="zh-CN"/>
        </w:rPr>
      </w:pPr>
    </w:p>
    <w:p w14:paraId="3573E8CE">
      <w:pPr>
        <w:spacing w:before="100" w:beforeLines="0" w:after="100" w:afterLines="0"/>
        <w:jc w:val="center"/>
        <w:rPr>
          <w:rFonts w:hint="eastAsia" w:ascii="宋体" w:hAnsi="宋体"/>
          <w:sz w:val="24"/>
          <w:szCs w:val="24"/>
          <w:lang w:val="zh-CN"/>
        </w:rPr>
      </w:pPr>
    </w:p>
    <w:p w14:paraId="445A13A0">
      <w:pPr>
        <w:spacing w:before="100" w:beforeLines="0" w:after="100" w:afterLines="0"/>
        <w:jc w:val="center"/>
        <w:rPr>
          <w:rFonts w:hint="eastAsia" w:ascii="宋体" w:hAnsi="宋体"/>
          <w:sz w:val="24"/>
          <w:szCs w:val="24"/>
          <w:lang w:val="zh-CN"/>
        </w:rPr>
      </w:pPr>
    </w:p>
    <w:p w14:paraId="31123C0F">
      <w:pPr>
        <w:spacing w:before="100" w:beforeLines="0" w:after="100" w:afterLines="0"/>
        <w:jc w:val="center"/>
        <w:rPr>
          <w:rFonts w:hint="eastAsia" w:ascii="宋体" w:hAnsi="宋体"/>
          <w:sz w:val="24"/>
          <w:szCs w:val="24"/>
          <w:lang w:val="zh-CN"/>
        </w:rPr>
      </w:pPr>
    </w:p>
    <w:p w14:paraId="0E3D7278">
      <w:pPr>
        <w:spacing w:before="100" w:beforeLines="0" w:after="100" w:afterLines="0"/>
        <w:jc w:val="center"/>
        <w:rPr>
          <w:rFonts w:hint="eastAsia" w:ascii="宋体" w:hAnsi="宋体"/>
          <w:sz w:val="24"/>
          <w:szCs w:val="24"/>
          <w:lang w:val="zh-CN"/>
        </w:rPr>
      </w:pPr>
    </w:p>
    <w:p w14:paraId="49DDA499">
      <w:pPr>
        <w:spacing w:before="100" w:beforeLines="0" w:after="100" w:afterLines="0"/>
        <w:jc w:val="center"/>
        <w:rPr>
          <w:rFonts w:hint="eastAsia" w:ascii="宋体" w:hAnsi="宋体"/>
          <w:sz w:val="24"/>
          <w:szCs w:val="24"/>
          <w:lang w:val="zh-CN"/>
        </w:rPr>
      </w:pPr>
    </w:p>
    <w:p w14:paraId="3FF9703B">
      <w:pPr>
        <w:spacing w:before="100" w:beforeLines="0" w:after="100" w:afterLines="0"/>
        <w:jc w:val="center"/>
        <w:rPr>
          <w:rFonts w:hint="eastAsia" w:ascii="宋体" w:hAnsi="宋体"/>
          <w:sz w:val="24"/>
          <w:szCs w:val="24"/>
          <w:lang w:val="zh-CN"/>
        </w:rPr>
      </w:pPr>
    </w:p>
    <w:p w14:paraId="41367500">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2BE1E2FA">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华池县光荣院部门决算</w:t>
      </w:r>
    </w:p>
    <w:p w14:paraId="6341D022">
      <w:pPr>
        <w:spacing w:before="100" w:beforeLines="0" w:after="100" w:afterLines="0"/>
        <w:jc w:val="center"/>
        <w:rPr>
          <w:rFonts w:hint="eastAsia" w:ascii="宋体" w:hAnsi="宋体"/>
          <w:sz w:val="24"/>
          <w:szCs w:val="24"/>
          <w:lang w:val="zh-CN"/>
        </w:rPr>
      </w:pPr>
    </w:p>
    <w:p w14:paraId="2A5CE7C4">
      <w:pPr>
        <w:spacing w:before="100" w:beforeLines="0" w:after="100" w:afterLines="0"/>
        <w:jc w:val="center"/>
        <w:rPr>
          <w:rFonts w:hint="eastAsia" w:ascii="宋体" w:hAnsi="宋体"/>
          <w:sz w:val="24"/>
          <w:szCs w:val="24"/>
          <w:lang w:val="zh-CN"/>
        </w:rPr>
      </w:pPr>
    </w:p>
    <w:p w14:paraId="04D39EB5">
      <w:pPr>
        <w:spacing w:before="100" w:beforeLines="0" w:after="100" w:afterLines="0"/>
        <w:jc w:val="center"/>
        <w:rPr>
          <w:rFonts w:hint="eastAsia" w:ascii="宋体" w:hAnsi="宋体"/>
          <w:sz w:val="24"/>
          <w:szCs w:val="24"/>
          <w:lang w:val="zh-CN"/>
        </w:rPr>
      </w:pPr>
    </w:p>
    <w:p w14:paraId="70B28A2C">
      <w:pPr>
        <w:spacing w:before="100" w:beforeLines="0" w:after="100" w:afterLines="0"/>
        <w:jc w:val="center"/>
        <w:rPr>
          <w:rFonts w:hint="eastAsia" w:ascii="宋体" w:hAnsi="宋体"/>
          <w:sz w:val="24"/>
          <w:szCs w:val="24"/>
          <w:lang w:val="zh-CN"/>
        </w:rPr>
      </w:pPr>
    </w:p>
    <w:p w14:paraId="54E5BE7A">
      <w:pPr>
        <w:spacing w:before="100" w:beforeLines="0" w:after="100" w:afterLines="0"/>
        <w:jc w:val="center"/>
        <w:rPr>
          <w:rFonts w:hint="eastAsia" w:ascii="宋体" w:hAnsi="宋体"/>
          <w:sz w:val="24"/>
          <w:szCs w:val="24"/>
          <w:lang w:val="zh-CN"/>
        </w:rPr>
      </w:pPr>
    </w:p>
    <w:p w14:paraId="582F0ACA">
      <w:pPr>
        <w:spacing w:before="100" w:beforeLines="0" w:after="100" w:afterLines="0"/>
        <w:jc w:val="center"/>
        <w:rPr>
          <w:rFonts w:hint="eastAsia" w:ascii="宋体" w:hAnsi="宋体"/>
          <w:sz w:val="24"/>
          <w:szCs w:val="24"/>
          <w:lang w:val="zh-CN"/>
        </w:rPr>
      </w:pPr>
    </w:p>
    <w:p w14:paraId="782D2439">
      <w:pPr>
        <w:spacing w:before="100" w:beforeLines="0" w:after="100" w:afterLines="0"/>
        <w:jc w:val="center"/>
        <w:rPr>
          <w:rFonts w:hint="eastAsia" w:ascii="宋体" w:hAnsi="宋体"/>
          <w:sz w:val="24"/>
          <w:szCs w:val="24"/>
          <w:lang w:val="zh-CN"/>
        </w:rPr>
      </w:pPr>
    </w:p>
    <w:p w14:paraId="5DF3A07C">
      <w:pPr>
        <w:spacing w:before="100" w:beforeLines="0" w:after="100" w:afterLines="0"/>
        <w:jc w:val="center"/>
        <w:rPr>
          <w:rFonts w:hint="eastAsia" w:ascii="宋体" w:hAnsi="宋体"/>
          <w:sz w:val="24"/>
          <w:szCs w:val="24"/>
          <w:lang w:val="zh-CN"/>
        </w:rPr>
      </w:pPr>
    </w:p>
    <w:p w14:paraId="797483B6">
      <w:pPr>
        <w:spacing w:before="100" w:beforeLines="0" w:after="100" w:afterLines="0"/>
        <w:jc w:val="center"/>
        <w:rPr>
          <w:rFonts w:hint="eastAsia" w:ascii="宋体" w:hAnsi="宋体"/>
          <w:sz w:val="24"/>
          <w:szCs w:val="24"/>
          <w:lang w:val="zh-CN"/>
        </w:rPr>
      </w:pPr>
    </w:p>
    <w:p w14:paraId="3C5284C4">
      <w:pPr>
        <w:spacing w:before="100" w:beforeLines="0" w:after="100" w:afterLines="0"/>
        <w:jc w:val="center"/>
        <w:rPr>
          <w:rFonts w:hint="eastAsia" w:ascii="宋体" w:hAnsi="宋体"/>
          <w:sz w:val="24"/>
          <w:szCs w:val="24"/>
          <w:lang w:val="zh-CN"/>
        </w:rPr>
      </w:pPr>
    </w:p>
    <w:p w14:paraId="1AE57358">
      <w:pPr>
        <w:spacing w:before="100" w:beforeLines="0" w:after="100" w:afterLines="0"/>
        <w:jc w:val="center"/>
        <w:rPr>
          <w:rFonts w:hint="eastAsia" w:ascii="宋体" w:hAnsi="宋体"/>
          <w:sz w:val="24"/>
          <w:szCs w:val="24"/>
          <w:lang w:val="zh-CN"/>
        </w:rPr>
      </w:pPr>
    </w:p>
    <w:p w14:paraId="4CB14608">
      <w:pPr>
        <w:spacing w:before="100" w:beforeLines="0" w:after="100" w:afterLines="0"/>
        <w:jc w:val="center"/>
        <w:rPr>
          <w:rFonts w:hint="eastAsia" w:ascii="宋体" w:hAnsi="宋体"/>
          <w:sz w:val="24"/>
          <w:szCs w:val="24"/>
          <w:lang w:val="zh-CN"/>
        </w:rPr>
      </w:pPr>
    </w:p>
    <w:p w14:paraId="50A8F5B5">
      <w:pPr>
        <w:spacing w:before="100" w:beforeLines="0" w:after="100" w:afterLines="0"/>
        <w:jc w:val="center"/>
        <w:rPr>
          <w:rFonts w:hint="eastAsia" w:ascii="宋体" w:hAnsi="宋体"/>
          <w:sz w:val="24"/>
          <w:szCs w:val="24"/>
          <w:lang w:val="zh-CN"/>
        </w:rPr>
      </w:pPr>
    </w:p>
    <w:p w14:paraId="7658E3C7">
      <w:pPr>
        <w:spacing w:before="100" w:beforeLines="0" w:after="100" w:afterLines="0"/>
        <w:jc w:val="center"/>
        <w:rPr>
          <w:rFonts w:hint="eastAsia" w:ascii="宋体" w:hAnsi="宋体"/>
          <w:sz w:val="24"/>
          <w:szCs w:val="24"/>
          <w:lang w:val="zh-CN"/>
        </w:rPr>
      </w:pPr>
    </w:p>
    <w:p w14:paraId="78188C17">
      <w:pPr>
        <w:spacing w:before="100" w:beforeLines="0" w:after="100" w:afterLines="0"/>
        <w:jc w:val="center"/>
        <w:rPr>
          <w:rFonts w:hint="eastAsia" w:ascii="宋体" w:hAnsi="宋体"/>
          <w:sz w:val="24"/>
          <w:szCs w:val="24"/>
          <w:lang w:val="zh-CN"/>
        </w:rPr>
      </w:pPr>
    </w:p>
    <w:p w14:paraId="21B5C989">
      <w:pPr>
        <w:spacing w:before="100" w:beforeLines="0" w:after="100" w:afterLines="0"/>
        <w:jc w:val="center"/>
        <w:rPr>
          <w:rFonts w:hint="eastAsia" w:ascii="宋体" w:hAnsi="宋体"/>
          <w:sz w:val="24"/>
          <w:szCs w:val="24"/>
          <w:lang w:val="zh-CN"/>
        </w:rPr>
      </w:pPr>
    </w:p>
    <w:p w14:paraId="2B28959B">
      <w:pPr>
        <w:spacing w:before="100" w:beforeLines="0" w:after="100" w:afterLines="0"/>
        <w:jc w:val="center"/>
        <w:rPr>
          <w:rFonts w:hint="eastAsia" w:ascii="宋体" w:hAnsi="宋体"/>
          <w:sz w:val="24"/>
          <w:szCs w:val="24"/>
          <w:lang w:val="zh-CN"/>
        </w:rPr>
      </w:pPr>
    </w:p>
    <w:p w14:paraId="30592AC1">
      <w:pPr>
        <w:spacing w:before="100" w:beforeLines="0" w:after="100" w:afterLines="0"/>
        <w:jc w:val="center"/>
        <w:rPr>
          <w:rFonts w:hint="eastAsia" w:ascii="宋体" w:hAnsi="宋体"/>
          <w:sz w:val="24"/>
          <w:szCs w:val="24"/>
          <w:lang w:val="zh-CN"/>
        </w:rPr>
      </w:pPr>
    </w:p>
    <w:p w14:paraId="39D76AAE">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68D3D36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6B6824D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0A2DFDE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0D6C70EC">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F25C77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687F59E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4B3E39F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5F29954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243AFDE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58270D5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45D3855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0C6F309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6CFF5FF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33762DE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1A7A040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173E0E9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536A370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4880C89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1961047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66E1FDD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2714BED2">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652B413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7376DACB">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04B6B937">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68E9748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284A015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64F9D28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2F4D893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6F9FD924">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3E0644A5">
      <w:pPr>
        <w:spacing w:before="100" w:beforeLines="0" w:after="100" w:afterLines="0"/>
        <w:jc w:val="center"/>
        <w:rPr>
          <w:rFonts w:hint="eastAsia" w:ascii="宋体" w:hAnsi="宋体"/>
          <w:sz w:val="24"/>
          <w:szCs w:val="24"/>
          <w:lang w:val="zh-CN"/>
        </w:rPr>
      </w:pPr>
    </w:p>
    <w:p w14:paraId="2FB3CC7E">
      <w:pPr>
        <w:spacing w:before="100" w:beforeLines="0" w:after="100" w:afterLines="0"/>
        <w:jc w:val="center"/>
        <w:rPr>
          <w:rFonts w:hint="eastAsia" w:ascii="宋体" w:hAnsi="宋体"/>
          <w:sz w:val="24"/>
          <w:szCs w:val="24"/>
          <w:lang w:val="zh-CN"/>
        </w:rPr>
      </w:pPr>
    </w:p>
    <w:p w14:paraId="7F5A149F">
      <w:pPr>
        <w:spacing w:before="100" w:beforeLines="0" w:after="100" w:afterLines="0"/>
        <w:jc w:val="center"/>
        <w:rPr>
          <w:rFonts w:hint="eastAsia" w:ascii="宋体" w:hAnsi="宋体"/>
          <w:sz w:val="24"/>
          <w:szCs w:val="24"/>
          <w:lang w:val="zh-CN"/>
        </w:rPr>
      </w:pPr>
    </w:p>
    <w:p w14:paraId="3EFA182A">
      <w:pPr>
        <w:spacing w:before="100" w:beforeLines="0" w:after="100" w:afterLines="0"/>
        <w:jc w:val="center"/>
        <w:rPr>
          <w:rFonts w:hint="eastAsia" w:ascii="宋体" w:hAnsi="宋体"/>
          <w:sz w:val="24"/>
          <w:szCs w:val="24"/>
          <w:lang w:val="zh-CN"/>
        </w:rPr>
      </w:pPr>
    </w:p>
    <w:p w14:paraId="754290D3">
      <w:pPr>
        <w:spacing w:before="100" w:beforeLines="0" w:after="100" w:afterLines="0"/>
        <w:jc w:val="center"/>
        <w:rPr>
          <w:rFonts w:hint="eastAsia" w:ascii="宋体" w:hAnsi="宋体"/>
          <w:sz w:val="24"/>
          <w:szCs w:val="24"/>
          <w:lang w:val="zh-CN"/>
        </w:rPr>
      </w:pPr>
    </w:p>
    <w:p w14:paraId="24B035C1">
      <w:pPr>
        <w:spacing w:before="100" w:beforeLines="0" w:after="100" w:afterLines="0"/>
        <w:jc w:val="center"/>
        <w:rPr>
          <w:rFonts w:hint="eastAsia" w:ascii="宋体" w:hAnsi="宋体"/>
          <w:sz w:val="24"/>
          <w:szCs w:val="24"/>
          <w:lang w:val="zh-CN"/>
        </w:rPr>
      </w:pPr>
    </w:p>
    <w:p w14:paraId="1EF6D459">
      <w:pPr>
        <w:spacing w:before="100" w:beforeLines="0" w:after="100" w:afterLines="0"/>
        <w:jc w:val="center"/>
        <w:rPr>
          <w:rFonts w:hint="eastAsia" w:ascii="宋体" w:hAnsi="宋体"/>
          <w:sz w:val="24"/>
          <w:szCs w:val="24"/>
          <w:lang w:val="zh-CN"/>
        </w:rPr>
      </w:pPr>
    </w:p>
    <w:p w14:paraId="4E512D82">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6498827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25A2168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供养老年、残疾或者未满16周岁的烈士遗属、因公牺牲军人遗属、病故军人遗属和进入老年的残疾军人、复员军人、退伍军人等人员，负责供养对象食宿、医疗、卫生、安全、学习、关怀等事宜；随时掌握住院人员的衣、食、住、行等情况，做到院民生活舒适，身体健康、延年益寿；负责召开住院人员开展谈心活动，及时了解他们的喜、怒、哀、乐，发现问题，及时解决；听取住院人员的反映，不断改善伙食，提高服务质量；根据老年人的生理特点，情趣爱好，身体状况，负责组织好院民的文化体育活动，创造良好活跃的生活环境和文化氛围，起到陶冶院民情趣，强身健体、益寿延年的目的。</w:t>
      </w:r>
    </w:p>
    <w:p w14:paraId="4F1C56C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4D08742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华池县光荣院无内设机构</w:t>
      </w:r>
    </w:p>
    <w:p w14:paraId="38073B8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人员编制情况：2023年本单位年末实有人数3人，华池县光荣院2023年核定行政编制数0人，事业编制3人；截至2023年12月底实有人数10人，其中：在职3人，退休7人。</w:t>
      </w:r>
    </w:p>
    <w:p w14:paraId="142DB745">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1316FD1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一、收入支出决算总表（详见附件）</w:t>
      </w:r>
    </w:p>
    <w:p w14:paraId="5030FD4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二、收入决算表（详见附件）</w:t>
      </w:r>
    </w:p>
    <w:p w14:paraId="509CF1D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三、支出决算表（详见附件）</w:t>
      </w:r>
    </w:p>
    <w:p w14:paraId="461F672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四、财政拨款收入支出决算总表（详见附件）</w:t>
      </w:r>
    </w:p>
    <w:p w14:paraId="6CB5048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五、一般公共预算财政拨款支出决算表（详见附件）</w:t>
      </w:r>
    </w:p>
    <w:p w14:paraId="183D6C7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六、一般公共预算财政拨款基本支出决算明细表（详见附件）</w:t>
      </w:r>
    </w:p>
    <w:p w14:paraId="21E9FE5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七、政府性基金预算财政拨款收入支出决算表（详见附件）</w:t>
      </w:r>
    </w:p>
    <w:p w14:paraId="23BC6E2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八、国有资本经营预算财政拨款支出决算表（详见附件）</w:t>
      </w:r>
    </w:p>
    <w:p w14:paraId="67FBDD6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经费支出决算表（详见附件）</w:t>
      </w:r>
    </w:p>
    <w:p w14:paraId="7040C1E9">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53D15CF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1F90015D">
      <w:pPr>
        <w:spacing w:before="100" w:beforeLines="0" w:after="100" w:afterLines="0"/>
        <w:jc w:val="left"/>
        <w:rPr>
          <w:rFonts w:hint="default" w:ascii="宋体" w:hAnsi="宋体" w:eastAsia="宋体"/>
          <w:color w:val="FF0000"/>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50.84万元。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减少3.65万元,下降6.7%,主要原因是</w:t>
      </w:r>
      <w:r>
        <w:rPr>
          <w:rFonts w:hint="eastAsia" w:ascii="宋体" w:hAnsi="宋体"/>
          <w:color w:val="auto"/>
          <w:sz w:val="24"/>
          <w:szCs w:val="24"/>
          <w:lang w:val="en-US" w:eastAsia="zh-CN"/>
        </w:rPr>
        <w:t>本单位人员调动，基本支出减少。</w:t>
      </w:r>
    </w:p>
    <w:p w14:paraId="3854677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36CB4AE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2023年度收入合计50.27万元,其中：财政拨款收入50.27万元,占100.00%。</w:t>
      </w:r>
    </w:p>
    <w:p w14:paraId="0D1D859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5156035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2023年度支出合计50.84万元,其中：基本支出50.84万元,占100.00%。</w:t>
      </w:r>
    </w:p>
    <w:p w14:paraId="4F00DC0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33396C0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50.84万元。与</w:t>
      </w:r>
      <w:r>
        <w:rPr>
          <w:rFonts w:hint="eastAsia" w:ascii="宋体" w:hAnsi="宋体"/>
          <w:color w:val="auto"/>
          <w:sz w:val="24"/>
          <w:szCs w:val="24"/>
          <w:lang w:val="en-US"/>
        </w:rPr>
        <w:t>上</w:t>
      </w:r>
      <w:r>
        <w:rPr>
          <w:rFonts w:hint="eastAsia" w:ascii="宋体" w:hAnsi="宋体"/>
          <w:color w:val="auto"/>
          <w:sz w:val="24"/>
          <w:szCs w:val="24"/>
          <w:lang w:val="zh-CN"/>
        </w:rPr>
        <w:t>年相比,各减少3.65万元,下降6.7%。主要原因是</w:t>
      </w:r>
      <w:r>
        <w:rPr>
          <w:rFonts w:hint="eastAsia" w:ascii="宋体" w:hAnsi="宋体"/>
          <w:color w:val="auto"/>
          <w:sz w:val="24"/>
          <w:szCs w:val="24"/>
          <w:lang w:val="en-US" w:eastAsia="zh-CN"/>
        </w:rPr>
        <w:t>本单位人员调动，基本支出减少。</w:t>
      </w:r>
    </w:p>
    <w:p w14:paraId="44A20E2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45564F4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6D2ECDE0">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2023年度一般公共预算财政拨款支出50.84万元,较上年决算数增加6.14万元,增长13.74%。主要原因是</w:t>
      </w:r>
      <w:r>
        <w:rPr>
          <w:rFonts w:hint="eastAsia" w:ascii="宋体" w:hAnsi="宋体"/>
          <w:color w:val="auto"/>
          <w:sz w:val="24"/>
          <w:szCs w:val="24"/>
          <w:lang w:val="en-US" w:eastAsia="zh-CN"/>
        </w:rPr>
        <w:t>本单位人员工资变动，基本支出增加。</w:t>
      </w:r>
    </w:p>
    <w:p w14:paraId="38234242">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7BC06878">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50.84万元，主要用于以下方面：社会保障和就业支出48.23万元,占94.88%；卫生健康支出2.60万元,占5.12%。</w:t>
      </w:r>
    </w:p>
    <w:p w14:paraId="4894EAFF">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62EB140C">
      <w:pPr>
        <w:numPr>
          <w:ilvl w:val="0"/>
          <w:numId w:val="0"/>
        </w:numPr>
        <w:spacing w:before="100" w:beforeLines="0" w:after="100" w:afterLines="0"/>
        <w:ind w:leftChars="0"/>
        <w:jc w:val="left"/>
        <w:rPr>
          <w:rFonts w:hint="default" w:ascii="宋体" w:hAnsi="宋体"/>
          <w:color w:val="auto"/>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50.84万元,支出决算为50.84万元,完成年初预算的100.0%。其中：</w:t>
      </w:r>
    </w:p>
    <w:p w14:paraId="21FBF85F">
      <w:pPr>
        <w:spacing w:before="100" w:beforeLines="0" w:after="100" w:afterLines="0"/>
        <w:jc w:val="left"/>
        <w:rPr>
          <w:rFonts w:hint="eastAsia" w:ascii="宋体" w:hAnsi="宋体"/>
          <w:color w:val="FF0000"/>
          <w:sz w:val="24"/>
          <w:szCs w:val="24"/>
          <w:lang w:val="zh-CN"/>
        </w:rPr>
      </w:pPr>
      <w:r>
        <w:rPr>
          <w:rFonts w:hint="eastAsia" w:ascii="Times New Roman" w:hAnsi="Times New Roman" w:eastAsia="宋体"/>
          <w:b/>
          <w:color w:val="auto"/>
          <w:sz w:val="24"/>
          <w:szCs w:val="24"/>
          <w:lang w:val="en-US" w:eastAsia="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年初预算数为48.23万元,支出决算为48.23万元,完成年初预算的100.0%,决算数小于预算数的主要原因是</w:t>
      </w:r>
      <w:r>
        <w:rPr>
          <w:rFonts w:hint="eastAsia" w:ascii="宋体" w:hAnsi="宋体"/>
          <w:color w:val="auto"/>
          <w:sz w:val="24"/>
          <w:szCs w:val="24"/>
          <w:lang w:val="en-US" w:eastAsia="zh-CN"/>
        </w:rPr>
        <w:t>本单位人员调动，基本支出减少。</w:t>
      </w: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年初预算数为2.60万元,支出决算为2.60万元,完成年初预算的100.0%,决算数小于预算数的主要原因是</w:t>
      </w:r>
      <w:r>
        <w:rPr>
          <w:rFonts w:hint="eastAsia" w:ascii="宋体" w:hAnsi="宋体"/>
          <w:color w:val="auto"/>
          <w:sz w:val="24"/>
          <w:szCs w:val="24"/>
          <w:lang w:val="en-US" w:eastAsia="zh-CN"/>
        </w:rPr>
        <w:t>本单位人员调动，基本支出减少。</w:t>
      </w:r>
    </w:p>
    <w:p w14:paraId="1AC596E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6097A60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2023年度一般公共预算财政拨款基本支出50.84万元。其中：</w:t>
      </w:r>
    </w:p>
    <w:p w14:paraId="497592A8">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50.55万元,较上年决算数增加6.13万元,增长13.81%,主要原因是</w:t>
      </w:r>
      <w:r>
        <w:rPr>
          <w:rFonts w:hint="eastAsia" w:ascii="宋体" w:hAnsi="宋体"/>
          <w:color w:val="auto"/>
          <w:sz w:val="24"/>
          <w:szCs w:val="24"/>
          <w:lang w:val="en-US" w:eastAsia="zh-CN"/>
        </w:rPr>
        <w:t>本单位人员工资变动，基本支出增加。</w:t>
      </w:r>
      <w:r>
        <w:rPr>
          <w:rFonts w:hint="eastAsia" w:ascii="宋体" w:hAnsi="宋体"/>
          <w:color w:val="auto"/>
          <w:sz w:val="24"/>
          <w:szCs w:val="24"/>
          <w:lang w:val="zh-CN"/>
        </w:rPr>
        <w:t>人员经费用途主要包括基本工资、津贴补贴、奖金、社会保障缴费。</w:t>
      </w:r>
    </w:p>
    <w:p w14:paraId="74575A79">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0.28万元,较上年决算数增加0.0万元,增长1.65%,主要原因是</w:t>
      </w:r>
      <w:r>
        <w:rPr>
          <w:rFonts w:hint="eastAsia" w:ascii="宋体" w:hAnsi="宋体"/>
          <w:color w:val="auto"/>
          <w:sz w:val="24"/>
          <w:szCs w:val="24"/>
          <w:lang w:val="en-US" w:eastAsia="zh-CN"/>
        </w:rPr>
        <w:t>本单位人员变动，公用经费支出增大</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差旅费</w:t>
      </w:r>
      <w:r>
        <w:rPr>
          <w:rFonts w:hint="eastAsia" w:ascii="宋体" w:hAnsi="宋体"/>
          <w:color w:val="auto"/>
          <w:sz w:val="24"/>
          <w:szCs w:val="24"/>
          <w:lang w:val="zh-CN"/>
        </w:rPr>
        <w:t>。</w:t>
      </w:r>
    </w:p>
    <w:p w14:paraId="0DEDE21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5EB9471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197543E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0C1E4EE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605E277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543F60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公益性事业单位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07873BDD">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7A40433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14833AF6">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7EA62827">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510ED7B9">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31400BCE">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zh-CN"/>
        </w:rPr>
        <w:t>。</w:t>
      </w:r>
    </w:p>
    <w:p w14:paraId="3F8B19F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2F5B80D0">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p>
    <w:p w14:paraId="384B20CE">
      <w:pPr>
        <w:numPr>
          <w:ilvl w:val="0"/>
          <w:numId w:val="0"/>
        </w:num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外事接待费支出0.00万元。</w:t>
      </w:r>
    </w:p>
    <w:p w14:paraId="4AF9B4CE">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0.00万元。</w:t>
      </w:r>
    </w:p>
    <w:p w14:paraId="38A9FF23">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7B573E2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210FEBB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10B8DF6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4198F85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2A0EF66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5794805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06892F2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362D89A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19704D0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2AE109D9">
      <w:pPr>
        <w:spacing w:before="100" w:beforeLines="0" w:after="100" w:afterLines="0"/>
        <w:jc w:val="left"/>
        <w:rPr>
          <w:rFonts w:hint="eastAsia" w:ascii="宋体" w:hAnsi="宋体"/>
          <w:color w:val="FF0000"/>
          <w:sz w:val="24"/>
          <w:szCs w:val="24"/>
          <w:lang w:val="zh-CN"/>
        </w:rPr>
      </w:pPr>
    </w:p>
    <w:p w14:paraId="675AB849">
      <w:pPr>
        <w:spacing w:before="100" w:beforeLines="0" w:after="100" w:afterLines="0"/>
        <w:jc w:val="left"/>
        <w:rPr>
          <w:rFonts w:hint="eastAsia" w:ascii="宋体" w:hAnsi="宋体"/>
          <w:color w:val="auto"/>
          <w:sz w:val="24"/>
          <w:szCs w:val="24"/>
          <w:lang w:val="zh-CN"/>
        </w:rPr>
      </w:pPr>
    </w:p>
    <w:p w14:paraId="415316A7">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37F60E4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698A2C9E">
      <w:pPr>
        <w:ind w:firstLine="480" w:firstLineChars="200"/>
        <w:rPr>
          <w:rFonts w:hint="default"/>
          <w:color w:val="auto"/>
          <w:sz w:val="24"/>
          <w:szCs w:val="24"/>
        </w:rPr>
      </w:pPr>
      <w:r>
        <w:rPr>
          <w:rFonts w:hint="eastAsia" w:ascii="宋体" w:hAnsi="宋体" w:cs="宋体"/>
          <w:color w:val="auto"/>
          <w:kern w:val="0"/>
          <w:sz w:val="24"/>
          <w:szCs w:val="24"/>
        </w:rPr>
        <w:t>根据预算绩效管理要求,本部门对2023年度一般公共预算</w:t>
      </w:r>
      <w:r>
        <w:rPr>
          <w:rFonts w:hint="eastAsia" w:ascii="宋体" w:hAnsi="宋体" w:cs="宋体"/>
          <w:color w:val="auto"/>
          <w:kern w:val="0"/>
          <w:sz w:val="24"/>
          <w:szCs w:val="24"/>
          <w:lang w:val="en-US" w:eastAsia="zh-CN"/>
        </w:rPr>
        <w:t>整体</w:t>
      </w:r>
      <w:r>
        <w:rPr>
          <w:rFonts w:hint="eastAsia" w:ascii="宋体" w:hAnsi="宋体" w:cs="宋体"/>
          <w:color w:val="auto"/>
          <w:kern w:val="0"/>
          <w:sz w:val="24"/>
          <w:szCs w:val="24"/>
        </w:rPr>
        <w:t>支出全面开展绩效自评,其中共涉及资金</w:t>
      </w:r>
      <w:r>
        <w:rPr>
          <w:rFonts w:hint="eastAsia" w:ascii="宋体" w:hAnsi="宋体" w:cs="宋体"/>
          <w:color w:val="auto"/>
          <w:kern w:val="0"/>
          <w:sz w:val="24"/>
          <w:szCs w:val="24"/>
          <w:lang w:val="en-US" w:eastAsia="zh-CN"/>
        </w:rPr>
        <w:t>50.84</w:t>
      </w:r>
      <w:r>
        <w:rPr>
          <w:rFonts w:hint="eastAsia" w:ascii="宋体" w:hAnsi="宋体" w:cs="宋体"/>
          <w:color w:val="auto"/>
          <w:kern w:val="0"/>
          <w:sz w:val="24"/>
          <w:szCs w:val="24"/>
        </w:rPr>
        <w:t>万元,占一般公共预算</w:t>
      </w:r>
      <w:r>
        <w:rPr>
          <w:rFonts w:hint="eastAsia" w:ascii="宋体" w:hAnsi="宋体" w:cs="宋体"/>
          <w:color w:val="auto"/>
          <w:kern w:val="0"/>
          <w:sz w:val="24"/>
          <w:szCs w:val="24"/>
          <w:lang w:val="en-US" w:eastAsia="zh-CN"/>
        </w:rPr>
        <w:t>整体</w:t>
      </w:r>
      <w:r>
        <w:rPr>
          <w:rFonts w:hint="eastAsia" w:ascii="宋体" w:hAnsi="宋体" w:cs="宋体"/>
          <w:color w:val="auto"/>
          <w:kern w:val="0"/>
          <w:sz w:val="24"/>
          <w:szCs w:val="24"/>
        </w:rPr>
        <w:t>支出总额的</w:t>
      </w:r>
      <w:r>
        <w:rPr>
          <w:rFonts w:hint="eastAsia" w:ascii="宋体" w:hAnsi="宋体" w:cs="宋体"/>
          <w:color w:val="auto"/>
          <w:kern w:val="0"/>
          <w:sz w:val="24"/>
          <w:szCs w:val="24"/>
          <w:lang w:val="en-US" w:eastAsia="zh-CN"/>
        </w:rPr>
        <w:t>100</w:t>
      </w:r>
      <w:r>
        <w:rPr>
          <w:rFonts w:hint="eastAsia" w:ascii="宋体" w:hAnsi="宋体" w:cs="宋体"/>
          <w:color w:val="auto"/>
          <w:kern w:val="0"/>
          <w:sz w:val="24"/>
          <w:szCs w:val="24"/>
        </w:rPr>
        <w:t>%。对2023年度</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个政府性基金预算项目开展绩效自评,共涉及资金</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万元,占政府性基金预算项目支出总额的</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%。组织对2023年度</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个国有资本经营预算项目开展绩效自评,共涉及资金</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万元,占国有资本经营预算项目支出总额的</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%。组织对</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个项目开展了部门评价,涉及一般公共预算支出</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万元,政府性基金预算支出</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万元,国有资本经营预算支出</w:t>
      </w:r>
      <w:r>
        <w:rPr>
          <w:rFonts w:hint="eastAsia" w:ascii="宋体" w:hAnsi="宋体" w:cs="宋体"/>
          <w:color w:val="auto"/>
          <w:kern w:val="0"/>
          <w:sz w:val="24"/>
          <w:szCs w:val="24"/>
          <w:lang w:val="en-US" w:eastAsia="zh-CN"/>
        </w:rPr>
        <w:t>0</w:t>
      </w:r>
      <w:r>
        <w:rPr>
          <w:rFonts w:hint="eastAsia" w:ascii="宋体" w:hAnsi="宋体" w:cs="宋体"/>
          <w:color w:val="auto"/>
          <w:kern w:val="0"/>
          <w:sz w:val="24"/>
          <w:szCs w:val="24"/>
        </w:rPr>
        <w:t>万元。从评价情况来看</w:t>
      </w:r>
      <w:r>
        <w:rPr>
          <w:rFonts w:hint="default"/>
          <w:color w:val="auto"/>
          <w:sz w:val="24"/>
          <w:szCs w:val="24"/>
        </w:rPr>
        <w:t>为规范卫生院资金管理，牢固树立预算绩效理念，强化支出责任，提高资金使用效益，我院组织人员对202</w:t>
      </w:r>
      <w:r>
        <w:rPr>
          <w:rFonts w:hint="eastAsia"/>
          <w:color w:val="auto"/>
          <w:sz w:val="24"/>
          <w:szCs w:val="24"/>
          <w:lang w:val="en-US" w:eastAsia="zh-CN"/>
        </w:rPr>
        <w:t>3</w:t>
      </w:r>
      <w:r>
        <w:rPr>
          <w:rFonts w:hint="default"/>
          <w:color w:val="auto"/>
          <w:sz w:val="24"/>
          <w:szCs w:val="24"/>
        </w:rPr>
        <w:t>年整体支出进行了绩效评价，整体支出绩效评价计分情况，（1）管理指标计</w:t>
      </w:r>
      <w:r>
        <w:rPr>
          <w:rFonts w:hint="eastAsia"/>
          <w:color w:val="auto"/>
          <w:sz w:val="24"/>
          <w:szCs w:val="24"/>
          <w:lang w:val="en-US" w:eastAsia="zh-CN"/>
        </w:rPr>
        <w:t>25</w:t>
      </w:r>
      <w:r>
        <w:rPr>
          <w:rFonts w:hint="default"/>
          <w:color w:val="auto"/>
          <w:sz w:val="24"/>
          <w:szCs w:val="24"/>
        </w:rPr>
        <w:t>分，实际得分</w:t>
      </w:r>
      <w:r>
        <w:rPr>
          <w:rFonts w:hint="eastAsia"/>
          <w:color w:val="auto"/>
          <w:sz w:val="24"/>
          <w:szCs w:val="24"/>
          <w:lang w:val="en-US" w:eastAsia="zh-CN"/>
        </w:rPr>
        <w:t>24</w:t>
      </w:r>
      <w:r>
        <w:rPr>
          <w:rFonts w:hint="default"/>
          <w:color w:val="auto"/>
          <w:sz w:val="24"/>
          <w:szCs w:val="24"/>
        </w:rPr>
        <w:t>分。（2）</w:t>
      </w:r>
      <w:r>
        <w:rPr>
          <w:rFonts w:hint="eastAsia"/>
          <w:color w:val="auto"/>
          <w:sz w:val="24"/>
          <w:szCs w:val="24"/>
          <w:lang w:val="en-US" w:eastAsia="zh-CN"/>
        </w:rPr>
        <w:t>产出指标</w:t>
      </w:r>
      <w:r>
        <w:rPr>
          <w:rFonts w:hint="default"/>
          <w:color w:val="auto"/>
          <w:sz w:val="24"/>
          <w:szCs w:val="24"/>
        </w:rPr>
        <w:t>计45分，实际得分</w:t>
      </w:r>
      <w:r>
        <w:rPr>
          <w:rFonts w:hint="eastAsia"/>
          <w:color w:val="auto"/>
          <w:sz w:val="24"/>
          <w:szCs w:val="24"/>
          <w:lang w:val="en-US" w:eastAsia="zh-CN"/>
        </w:rPr>
        <w:t>44</w:t>
      </w:r>
      <w:r>
        <w:rPr>
          <w:rFonts w:hint="default"/>
          <w:color w:val="auto"/>
          <w:sz w:val="24"/>
          <w:szCs w:val="24"/>
        </w:rPr>
        <w:t>分。（3）</w:t>
      </w:r>
      <w:r>
        <w:rPr>
          <w:rFonts w:hint="eastAsia"/>
          <w:color w:val="auto"/>
          <w:sz w:val="24"/>
          <w:szCs w:val="24"/>
          <w:lang w:val="en-US" w:eastAsia="zh-CN"/>
        </w:rPr>
        <w:t>效益指标计20</w:t>
      </w:r>
      <w:r>
        <w:rPr>
          <w:rFonts w:hint="default"/>
          <w:color w:val="auto"/>
          <w:sz w:val="24"/>
          <w:szCs w:val="24"/>
        </w:rPr>
        <w:t>分，实际得分</w:t>
      </w:r>
      <w:r>
        <w:rPr>
          <w:rFonts w:hint="eastAsia"/>
          <w:color w:val="auto"/>
          <w:sz w:val="24"/>
          <w:szCs w:val="24"/>
          <w:lang w:val="en-US" w:eastAsia="zh-CN"/>
        </w:rPr>
        <w:t>20</w:t>
      </w:r>
      <w:r>
        <w:rPr>
          <w:rFonts w:hint="default"/>
          <w:color w:val="auto"/>
          <w:sz w:val="24"/>
          <w:szCs w:val="24"/>
        </w:rPr>
        <w:t>分。（4）</w:t>
      </w:r>
      <w:r>
        <w:rPr>
          <w:rFonts w:hint="eastAsia"/>
          <w:color w:val="auto"/>
          <w:sz w:val="24"/>
          <w:szCs w:val="24"/>
          <w:lang w:val="en-US" w:eastAsia="zh-CN"/>
        </w:rPr>
        <w:t>满意度指标</w:t>
      </w:r>
      <w:r>
        <w:rPr>
          <w:rFonts w:hint="default"/>
          <w:color w:val="auto"/>
          <w:sz w:val="24"/>
          <w:szCs w:val="24"/>
        </w:rPr>
        <w:t>计10分，实际得分10分。</w:t>
      </w:r>
    </w:p>
    <w:p w14:paraId="633F0263">
      <w:pPr>
        <w:numPr>
          <w:ilvl w:val="0"/>
          <w:numId w:val="4"/>
        </w:numPr>
        <w:jc w:val="left"/>
        <w:rPr>
          <w:rFonts w:hint="eastAsia" w:ascii="宋体" w:hAnsi="宋体"/>
          <w:b/>
          <w:bCs/>
          <w:color w:val="auto"/>
          <w:sz w:val="24"/>
          <w:szCs w:val="24"/>
          <w:lang w:val="zh-CN"/>
        </w:rPr>
      </w:pPr>
      <w:r>
        <w:rPr>
          <w:rFonts w:hint="eastAsia" w:ascii="宋体" w:hAnsi="宋体"/>
          <w:b/>
          <w:bCs/>
          <w:color w:val="auto"/>
          <w:sz w:val="24"/>
          <w:szCs w:val="24"/>
          <w:lang w:val="zh-CN"/>
        </w:rPr>
        <w:t>绩效自评结果</w:t>
      </w:r>
    </w:p>
    <w:p w14:paraId="506596B6">
      <w:pPr>
        <w:ind w:firstLine="480" w:firstLineChars="200"/>
        <w:rPr>
          <w:rFonts w:hint="eastAsia" w:ascii="宋体" w:hAnsi="宋体"/>
          <w:b/>
          <w:bCs/>
          <w:color w:val="auto"/>
          <w:sz w:val="24"/>
          <w:szCs w:val="24"/>
          <w:lang w:val="zh-CN"/>
        </w:rPr>
      </w:pPr>
      <w:r>
        <w:rPr>
          <w:rFonts w:hint="default"/>
          <w:color w:val="auto"/>
          <w:sz w:val="24"/>
          <w:szCs w:val="24"/>
        </w:rPr>
        <w:t>绩效目标自评表（详见附件）</w:t>
      </w:r>
    </w:p>
    <w:p w14:paraId="74190E3C">
      <w:pPr>
        <w:numPr>
          <w:ilvl w:val="0"/>
          <w:numId w:val="0"/>
        </w:numPr>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我部门在2023年度部门决算中反映</w:t>
      </w:r>
      <w:r>
        <w:rPr>
          <w:rFonts w:hint="default"/>
          <w:color w:val="auto"/>
          <w:sz w:val="24"/>
          <w:szCs w:val="24"/>
        </w:rPr>
        <w:t>整体支出绩效自评结果。</w:t>
      </w:r>
    </w:p>
    <w:p w14:paraId="4766543E">
      <w:pPr>
        <w:ind w:firstLine="480" w:firstLineChars="200"/>
        <w:rPr>
          <w:rFonts w:hint="default"/>
          <w:color w:val="auto"/>
          <w:sz w:val="24"/>
          <w:szCs w:val="24"/>
        </w:rPr>
      </w:pPr>
      <w:r>
        <w:rPr>
          <w:rFonts w:hint="eastAsia" w:ascii="宋体" w:hAnsi="宋体" w:cs="宋体"/>
          <w:color w:val="auto"/>
          <w:kern w:val="0"/>
          <w:sz w:val="24"/>
          <w:szCs w:val="24"/>
        </w:rPr>
        <w:t>1.</w:t>
      </w:r>
      <w:r>
        <w:rPr>
          <w:rFonts w:hint="default"/>
          <w:color w:val="auto"/>
          <w:sz w:val="24"/>
          <w:szCs w:val="24"/>
        </w:rPr>
        <w:t>整体支出绩效</w:t>
      </w:r>
      <w:r>
        <w:rPr>
          <w:rFonts w:hint="eastAsia" w:ascii="宋体" w:hAnsi="宋体" w:cs="宋体"/>
          <w:color w:val="auto"/>
          <w:kern w:val="0"/>
          <w:sz w:val="24"/>
          <w:szCs w:val="24"/>
        </w:rPr>
        <w:t>自评情况：根据年初设定的绩效目标,</w:t>
      </w:r>
      <w:r>
        <w:rPr>
          <w:rFonts w:hint="default"/>
          <w:color w:val="auto"/>
          <w:sz w:val="24"/>
          <w:szCs w:val="24"/>
        </w:rPr>
        <w:t>整体</w:t>
      </w:r>
      <w:r>
        <w:rPr>
          <w:rFonts w:hint="eastAsia" w:ascii="宋体" w:hAnsi="宋体" w:cs="宋体"/>
          <w:color w:val="auto"/>
          <w:kern w:val="0"/>
          <w:sz w:val="24"/>
          <w:szCs w:val="24"/>
        </w:rPr>
        <w:t>绩效自评得分为</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分。</w:t>
      </w:r>
      <w:r>
        <w:rPr>
          <w:rFonts w:hint="eastAsia" w:ascii="宋体" w:hAnsi="宋体" w:cs="宋体"/>
          <w:color w:val="auto"/>
          <w:kern w:val="0"/>
          <w:sz w:val="24"/>
          <w:szCs w:val="24"/>
          <w:lang w:val="en-US" w:eastAsia="zh-CN"/>
        </w:rPr>
        <w:t>整体</w:t>
      </w:r>
      <w:r>
        <w:rPr>
          <w:rFonts w:hint="eastAsia" w:ascii="宋体" w:hAnsi="宋体" w:cs="宋体"/>
          <w:color w:val="auto"/>
          <w:kern w:val="0"/>
          <w:sz w:val="24"/>
          <w:szCs w:val="24"/>
        </w:rPr>
        <w:t>全年预算数为</w:t>
      </w:r>
      <w:r>
        <w:rPr>
          <w:rFonts w:hint="eastAsia" w:ascii="宋体" w:hAnsi="宋体" w:cs="宋体"/>
          <w:color w:val="auto"/>
          <w:kern w:val="0"/>
          <w:sz w:val="24"/>
          <w:szCs w:val="24"/>
          <w:lang w:val="en-US" w:eastAsia="zh-CN"/>
        </w:rPr>
        <w:t>50.27</w:t>
      </w:r>
      <w:r>
        <w:rPr>
          <w:rFonts w:hint="eastAsia" w:ascii="宋体" w:hAnsi="宋体" w:cs="宋体"/>
          <w:color w:val="auto"/>
          <w:kern w:val="0"/>
          <w:sz w:val="24"/>
          <w:szCs w:val="24"/>
        </w:rPr>
        <w:t>万元,执行数为</w:t>
      </w:r>
      <w:r>
        <w:rPr>
          <w:rFonts w:hint="eastAsia" w:ascii="宋体" w:hAnsi="宋体" w:cs="宋体"/>
          <w:color w:val="auto"/>
          <w:kern w:val="0"/>
          <w:sz w:val="24"/>
          <w:szCs w:val="24"/>
          <w:lang w:val="en-US" w:eastAsia="zh-CN"/>
        </w:rPr>
        <w:t>50.84</w:t>
      </w:r>
      <w:r>
        <w:rPr>
          <w:rFonts w:hint="eastAsia" w:ascii="宋体" w:hAnsi="宋体" w:cs="宋体"/>
          <w:color w:val="auto"/>
          <w:kern w:val="0"/>
          <w:sz w:val="24"/>
          <w:szCs w:val="24"/>
        </w:rPr>
        <w:t>万元,完成预算的</w:t>
      </w:r>
      <w:r>
        <w:rPr>
          <w:rFonts w:hint="eastAsia" w:ascii="宋体" w:hAnsi="宋体" w:cs="宋体"/>
          <w:color w:val="auto"/>
          <w:kern w:val="0"/>
          <w:sz w:val="24"/>
          <w:szCs w:val="24"/>
          <w:lang w:val="en-US" w:eastAsia="zh-CN"/>
        </w:rPr>
        <w:t>100</w:t>
      </w:r>
      <w:r>
        <w:rPr>
          <w:rFonts w:hint="eastAsia" w:ascii="宋体" w:hAnsi="宋体" w:cs="宋体"/>
          <w:color w:val="auto"/>
          <w:kern w:val="0"/>
          <w:sz w:val="24"/>
          <w:szCs w:val="24"/>
        </w:rPr>
        <w:t>%。</w:t>
      </w:r>
      <w:r>
        <w:rPr>
          <w:rFonts w:hint="default"/>
          <w:color w:val="auto"/>
          <w:sz w:val="24"/>
          <w:szCs w:val="24"/>
        </w:rPr>
        <w:t>整体</w:t>
      </w:r>
      <w:r>
        <w:rPr>
          <w:rFonts w:hint="eastAsia" w:ascii="宋体" w:hAnsi="宋体" w:cs="宋体"/>
          <w:color w:val="auto"/>
          <w:kern w:val="0"/>
          <w:sz w:val="24"/>
          <w:szCs w:val="24"/>
        </w:rPr>
        <w:t>绩效目标完成情况：</w:t>
      </w:r>
      <w:r>
        <w:rPr>
          <w:rFonts w:hint="default"/>
          <w:color w:val="auto"/>
          <w:sz w:val="24"/>
          <w:szCs w:val="24"/>
        </w:rPr>
        <w:t>整体绩效目标完成情况：加强管理，合理安排各项支出，保障各项工作正常运转。发现的主要问题及原因：1预算绩效管理经验需要进一步积累。因为预算绩效管理工作具有政策性强、专业性强、涉及面广、操作难度大等特点，经验不足，导致工作多走许多弯路，影响工作效果。2</w:t>
      </w:r>
      <w:bookmarkStart w:id="0" w:name="_GoBack"/>
      <w:bookmarkEnd w:id="0"/>
      <w:r>
        <w:rPr>
          <w:rFonts w:hint="default"/>
          <w:color w:val="auto"/>
          <w:sz w:val="24"/>
          <w:szCs w:val="24"/>
        </w:rPr>
        <w:t>本单位严重缺乏专业财务人员，对财政相关规定和业务不够熟练。下一步改进措施：1 建立健全财政各项资金管理制度，严格执行财务管理制度，做到了财务处理及时，会计核算规范，严格按照计划进度支付。2 对财务人员定期进行培训，提高财务人员的业务能力。</w:t>
      </w:r>
    </w:p>
    <w:p w14:paraId="15B641D8">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2707D10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0229EF4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4AD4DFC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548284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1C866DD3">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021B490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4839656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6E6BE35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4FBE0EC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527EF28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35B7350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0198568F">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E9F920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2EBB4BA">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2D5D2D43"/>
    <w:multiLevelType w:val="singleLevel"/>
    <w:tmpl w:val="2D5D2D43"/>
    <w:lvl w:ilvl="0" w:tentative="0">
      <w:start w:val="2"/>
      <w:numFmt w:val="chineseCounting"/>
      <w:suff w:val="nothing"/>
      <w:lvlText w:val="%1、"/>
      <w:lvlJc w:val="left"/>
      <w:rPr>
        <w:rFonts w:hint="eastAsia"/>
      </w:rPr>
    </w:lvl>
  </w:abstractNum>
  <w:abstractNum w:abstractNumId="3">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1NjE5NWQ4Nzg3M2NkNWQ1ZjA2ZWY4MWQ2MjE0ZDQifQ=="/>
  </w:docVars>
  <w:rsids>
    <w:rsidRoot w:val="00000000"/>
    <w:rsid w:val="011313C5"/>
    <w:rsid w:val="2F7B5832"/>
    <w:rsid w:val="4F721699"/>
    <w:rsid w:val="5FFB6789"/>
    <w:rsid w:val="7ABD10F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0"/>
    <w:pPr>
      <w:spacing w:after="120" w:line="480" w:lineRule="auto"/>
      <w:ind w:left="420" w:leftChars="200"/>
    </w:p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e22a08ce-e513-497f-9064-b560ebea5cb5}">
  <ds:schemaRefs/>
</ds:datastoreItem>
</file>

<file path=customXml/itemProps2.xml><?xml version="1.0" encoding="utf-8"?>
<ds:datastoreItem xmlns:ds="http://schemas.openxmlformats.org/officeDocument/2006/customXml" ds:itemID="{e503f99b-e2ae-46f0-9ad7-d816b46503f4}">
  <ds:schemaRefs/>
</ds:datastoreItem>
</file>

<file path=customXml/itemProps3.xml><?xml version="1.0" encoding="utf-8"?>
<ds:datastoreItem xmlns:ds="http://schemas.openxmlformats.org/officeDocument/2006/customXml" ds:itemID="{af43fd4f-1f21-45bc-86d5-0eb2c8b0ecf6}">
  <ds:schemaRefs/>
</ds:datastoreItem>
</file>

<file path=customXml/itemProps4.xml><?xml version="1.0" encoding="utf-8"?>
<ds:datastoreItem xmlns:ds="http://schemas.openxmlformats.org/officeDocument/2006/customXml" ds:itemID="{40a68c13-d8f8-4d04-84ff-2bf8ef41aaa3}">
  <ds:schemaRefs/>
</ds:datastoreItem>
</file>

<file path=customXml/itemProps5.xml><?xml version="1.0" encoding="utf-8"?>
<ds:datastoreItem xmlns:ds="http://schemas.openxmlformats.org/officeDocument/2006/customXml" ds:itemID="{71a322de-67a5-4178-84da-91d0b4d7653a}">
  <ds:schemaRefs/>
</ds:datastoreItem>
</file>

<file path=customXml/itemProps6.xml><?xml version="1.0" encoding="utf-8"?>
<ds:datastoreItem xmlns:ds="http://schemas.openxmlformats.org/officeDocument/2006/customXml" ds:itemID="{7c42ecc9-f87a-4248-a897-6fdf5c6ab946}">
  <ds:schemaRefs/>
</ds:datastoreItem>
</file>

<file path=customXml/itemProps7.xml><?xml version="1.0" encoding="utf-8"?>
<ds:datastoreItem xmlns:ds="http://schemas.openxmlformats.org/officeDocument/2006/customXml" ds:itemID="{f796fd8a-7e2c-4569-8795-72551a6cee5e}">
  <ds:schemaRefs/>
</ds:datastoreItem>
</file>

<file path=customXml/itemProps8.xml><?xml version="1.0" encoding="utf-8"?>
<ds:datastoreItem xmlns:ds="http://schemas.openxmlformats.org/officeDocument/2006/customXml" ds:itemID="{80435642-450e-4930-8215-ffe68b2e800d}">
  <ds:schemaRefs/>
</ds:datastoreItem>
</file>

<file path=customXml/itemProps9.xml><?xml version="1.0" encoding="utf-8"?>
<ds:datastoreItem xmlns:ds="http://schemas.openxmlformats.org/officeDocument/2006/customXml" ds:itemID="{9003fc1e-f948-4edc-8259-fbbbd49a495f}">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4293</Words>
  <Characters>4618</Characters>
  <Lines>0</Lines>
  <Paragraphs>0</Paragraphs>
  <TotalTime>2</TotalTime>
  <ScaleCrop>false</ScaleCrop>
  <LinksUpToDate>false</LinksUpToDate>
  <CharactersWithSpaces>4626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lenovo</cp:lastModifiedBy>
  <dcterms:modified xsi:type="dcterms:W3CDTF">2024-09-23T00:58:12Z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