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A85A9">
      <w:pPr>
        <w:keepNext w:val="0"/>
        <w:keepLines w:val="0"/>
        <w:pageBreakBefore w:val="0"/>
        <w:kinsoku/>
        <w:wordWrap/>
        <w:overflowPunct/>
        <w:topLinePunct w:val="0"/>
        <w:autoSpaceDE/>
        <w:autoSpaceDN/>
        <w:bidi w:val="0"/>
        <w:adjustRightInd/>
        <w:spacing w:line="600" w:lineRule="exact"/>
        <w:jc w:val="both"/>
        <w:textAlignment w:val="auto"/>
        <w:rPr>
          <w:rFonts w:hint="eastAsia" w:asciiTheme="minorEastAsia" w:hAnsiTheme="minorEastAsia"/>
          <w:b/>
          <w:sz w:val="44"/>
          <w:szCs w:val="44"/>
          <w:lang w:val="en-US" w:eastAsia="zh-CN"/>
        </w:rPr>
      </w:pPr>
    </w:p>
    <w:p w14:paraId="003F0811">
      <w:pPr>
        <w:keepNext w:val="0"/>
        <w:keepLines w:val="0"/>
        <w:pageBreakBefore w:val="0"/>
        <w:kinsoku/>
        <w:wordWrap/>
        <w:overflowPunct/>
        <w:topLinePunct w:val="0"/>
        <w:autoSpaceDE/>
        <w:autoSpaceDN/>
        <w:bidi w:val="0"/>
        <w:adjustRightInd/>
        <w:spacing w:line="600" w:lineRule="exact"/>
        <w:jc w:val="center"/>
        <w:textAlignment w:val="auto"/>
        <w:rPr>
          <w:rFonts w:hint="default"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华池县光荣院</w:t>
      </w:r>
    </w:p>
    <w:p w14:paraId="037A7D4D">
      <w:pPr>
        <w:keepNext w:val="0"/>
        <w:keepLines w:val="0"/>
        <w:pageBreakBefore w:val="0"/>
        <w:kinsoku/>
        <w:wordWrap/>
        <w:overflowPunct/>
        <w:topLinePunct w:val="0"/>
        <w:autoSpaceDE/>
        <w:autoSpaceDN/>
        <w:bidi w:val="0"/>
        <w:adjustRightIn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w:t>
      </w:r>
      <w:r>
        <w:rPr>
          <w:rFonts w:hint="eastAsia" w:ascii="方正小标宋简体" w:hAnsi="方正小标宋简体" w:eastAsia="方正小标宋简体" w:cs="方正小标宋简体"/>
          <w:b w:val="0"/>
          <w:bCs/>
          <w:sz w:val="44"/>
          <w:szCs w:val="44"/>
          <w:lang w:val="en-US" w:eastAsia="zh-CN"/>
        </w:rPr>
        <w:t>23</w:t>
      </w:r>
      <w:r>
        <w:rPr>
          <w:rFonts w:hint="eastAsia" w:ascii="方正小标宋简体" w:hAnsi="方正小标宋简体" w:eastAsia="方正小标宋简体" w:cs="方正小标宋简体"/>
          <w:b w:val="0"/>
          <w:bCs/>
          <w:sz w:val="44"/>
          <w:szCs w:val="44"/>
        </w:rPr>
        <w:t>年部门整体支出绩效自评报告</w:t>
      </w:r>
    </w:p>
    <w:p w14:paraId="0BED2BE0">
      <w:pPr>
        <w:keepNext w:val="0"/>
        <w:keepLines w:val="0"/>
        <w:pageBreakBefore w:val="0"/>
        <w:kinsoku/>
        <w:wordWrap/>
        <w:overflowPunct/>
        <w:topLinePunct w:val="0"/>
        <w:autoSpaceDE/>
        <w:autoSpaceDN/>
        <w:bidi w:val="0"/>
        <w:adjustRightInd/>
        <w:spacing w:line="600" w:lineRule="exact"/>
        <w:ind w:left="0" w:leftChars="0" w:firstLine="883" w:firstLineChars="200"/>
        <w:jc w:val="left"/>
        <w:textAlignment w:val="auto"/>
        <w:rPr>
          <w:rFonts w:asciiTheme="minorEastAsia" w:hAnsiTheme="minorEastAsia"/>
          <w:b/>
          <w:sz w:val="44"/>
          <w:szCs w:val="44"/>
        </w:rPr>
      </w:pPr>
    </w:p>
    <w:p w14:paraId="7A273572">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为进一步规范财政资金管理，牢固树立预算绩效理念，强化部门支出责任，提高财政资金使用效益，根据</w:t>
      </w:r>
      <w:r>
        <w:rPr>
          <w:rFonts w:hint="eastAsia" w:ascii="仿宋_GB2312" w:hAnsi="仿宋_GB2312" w:eastAsia="仿宋_GB2312" w:cs="仿宋_GB2312"/>
          <w:sz w:val="32"/>
          <w:szCs w:val="32"/>
          <w:lang w:val="en-US" w:eastAsia="zh-CN"/>
        </w:rPr>
        <w:t>上级部门</w:t>
      </w:r>
      <w:r>
        <w:rPr>
          <w:rFonts w:hint="eastAsia" w:ascii="仿宋_GB2312" w:hAnsi="仿宋_GB2312" w:eastAsia="仿宋_GB2312" w:cs="仿宋_GB2312"/>
          <w:sz w:val="32"/>
          <w:szCs w:val="32"/>
        </w:rPr>
        <w:t>的要求，</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高度重视，积极安排部署，对20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年度部门整体支出绩效进行了自评。现将具体情况报告如下：</w:t>
      </w:r>
    </w:p>
    <w:p w14:paraId="5BDC0D74">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黑体" w:hAnsi="黑体" w:eastAsia="黑体" w:cs="黑体"/>
          <w:color w:val="000000"/>
          <w:sz w:val="32"/>
          <w:szCs w:val="32"/>
          <w:shd w:val="clear" w:color="auto" w:fill="FFFFFF"/>
        </w:rPr>
      </w:pPr>
      <w:r>
        <w:rPr>
          <w:rFonts w:hint="eastAsia" w:ascii="黑体" w:hAnsi="黑体" w:eastAsia="黑体" w:cs="黑体"/>
          <w:b/>
          <w:color w:val="000000"/>
          <w:sz w:val="32"/>
          <w:szCs w:val="32"/>
          <w:shd w:val="clear" w:color="auto" w:fill="FFFFFF"/>
        </w:rPr>
        <w:t>一、部门概况</w:t>
      </w:r>
    </w:p>
    <w:p w14:paraId="3D676A57">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楷体_GB2312" w:hAnsi="楷体_GB2312" w:eastAsia="楷体_GB2312" w:cs="楷体_GB2312"/>
          <w:b/>
          <w:color w:val="000000"/>
          <w:sz w:val="32"/>
          <w:szCs w:val="32"/>
          <w:shd w:val="clear" w:color="auto" w:fill="FFFFFF"/>
        </w:rPr>
      </w:pPr>
      <w:r>
        <w:rPr>
          <w:rFonts w:hint="eastAsia" w:ascii="楷体_GB2312" w:hAnsi="楷体_GB2312" w:eastAsia="楷体_GB2312" w:cs="楷体_GB2312"/>
          <w:b/>
          <w:color w:val="000000"/>
          <w:sz w:val="32"/>
          <w:szCs w:val="32"/>
          <w:shd w:val="clear" w:color="auto" w:fill="FFFFFF"/>
        </w:rPr>
        <w:t>（一）主要职能、机构设置、人员及资产情况</w:t>
      </w:r>
    </w:p>
    <w:p w14:paraId="25A21688">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养老年、残疾或者未满16周岁的烈士遗属、因公牺牲军人遗属、病故军人遗属和进入老年的残疾军人、复员军人、退伍军人等人员，负责供养对象食宿、医疗、卫生、安全、学习、关怀等事宜；随时掌握住院人员的衣、食、住、行等情况，做到院民生活舒适，身体健康、延年益寿；负责召开住院人员开展谈心活动，及时了解他们的喜、怒、哀、乐，发现问题，及时解决；听取住院人员的反映，不断改善伙食，提高服务质量；根据老年人的生理特点，情趣爱好，身体状况，负责组织好院民的文化体育活动，创造良好活跃的生活环境和文化氛围，起到陶冶院民情趣，强身健体、益寿延年的目的。</w:t>
      </w:r>
    </w:p>
    <w:p w14:paraId="5E6E8940">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2．机构情况</w:t>
      </w:r>
    </w:p>
    <w:p w14:paraId="151BCCB8">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华池县光荣院无内设机构</w:t>
      </w:r>
    </w:p>
    <w:p w14:paraId="60E9789D">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3．人员编制情况。202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年本单位年末实有人数3人，华池县光荣院202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年核定行政编制数0人，事业编制3人；截至202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年12月底实有人数</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人，其中：在职3人，退休</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w:t>
      </w:r>
    </w:p>
    <w:p w14:paraId="00F35A8F">
      <w:pPr>
        <w:keepNext w:val="0"/>
        <w:keepLines w:val="0"/>
        <w:pageBreakBefore w:val="0"/>
        <w:kinsoku/>
        <w:wordWrap/>
        <w:overflowPunct/>
        <w:topLinePunct w:val="0"/>
        <w:autoSpaceDE/>
        <w:autoSpaceDN/>
        <w:bidi w:val="0"/>
        <w:adjustRightInd/>
        <w:snapToGrid w:val="0"/>
        <w:spacing w:line="600" w:lineRule="exact"/>
        <w:ind w:left="0" w:leftChars="0"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（二）履职总体目标、工作任务</w:t>
      </w:r>
    </w:p>
    <w:p w14:paraId="461A98D0">
      <w:pPr>
        <w:pStyle w:val="7"/>
        <w:keepNext w:val="0"/>
        <w:keepLines w:val="0"/>
        <w:pageBreakBefore w:val="0"/>
        <w:numPr>
          <w:ilvl w:val="0"/>
          <w:numId w:val="0"/>
        </w:numPr>
        <w:kinsoku/>
        <w:wordWrap/>
        <w:overflowPunct/>
        <w:topLinePunct w:val="0"/>
        <w:autoSpaceDE/>
        <w:autoSpaceDN/>
        <w:bidi w:val="0"/>
        <w:adjustRightInd/>
        <w:snapToGrid/>
        <w:spacing w:line="600" w:lineRule="exact"/>
        <w:ind w:left="0" w:firstLine="640" w:firstLineChars="200"/>
        <w:textAlignment w:val="auto"/>
        <w:rPr>
          <w:rFonts w:hint="eastAsia"/>
        </w:rPr>
      </w:pPr>
      <w:r>
        <w:rPr>
          <w:rFonts w:hint="eastAsia" w:eastAsia="仿宋_GB2312" w:cs="仿宋_GB2312"/>
          <w:i w:val="0"/>
          <w:iCs w:val="0"/>
          <w:caps w:val="0"/>
          <w:color w:val="auto"/>
          <w:spacing w:val="0"/>
          <w:sz w:val="32"/>
          <w:szCs w:val="32"/>
          <w:shd w:val="clear" w:color="auto" w:fill="FFFFFF"/>
          <w:vertAlign w:val="baseline"/>
          <w:lang w:val="en-US" w:eastAsia="zh-CN"/>
        </w:rPr>
        <w:t>1、总目标：</w:t>
      </w:r>
      <w:r>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t>紧紧围绕新时代退役军人工作目标，以全面落实《中华人民共和国退役军人保障法》和《关于加强新时代退役军人工作的意见》为统揽，不断健全完善</w:t>
      </w:r>
      <w:r>
        <w:rPr>
          <w:rFonts w:hint="eastAsia" w:eastAsia="仿宋_GB2312" w:cs="仿宋_GB2312"/>
          <w:i w:val="0"/>
          <w:iCs w:val="0"/>
          <w:caps w:val="0"/>
          <w:color w:val="auto"/>
          <w:spacing w:val="0"/>
          <w:sz w:val="32"/>
          <w:szCs w:val="32"/>
          <w:shd w:val="clear" w:color="auto" w:fill="FFFFFF"/>
          <w:vertAlign w:val="baseline"/>
          <w:lang w:val="en-US" w:eastAsia="zh-CN"/>
        </w:rPr>
        <w:t>全县退役军人事务</w:t>
      </w:r>
      <w:r>
        <w:rPr>
          <w:rFonts w:hint="eastAsia" w:ascii="Times New Roman" w:hAnsi="Times New Roman" w:eastAsia="仿宋_GB2312" w:cs="仿宋_GB2312"/>
          <w:i w:val="0"/>
          <w:iCs w:val="0"/>
          <w:caps w:val="0"/>
          <w:color w:val="auto"/>
          <w:spacing w:val="0"/>
          <w:sz w:val="32"/>
          <w:szCs w:val="32"/>
          <w:shd w:val="clear" w:color="auto" w:fill="FFFFFF"/>
          <w:vertAlign w:val="baseline"/>
          <w:lang w:val="en-US" w:eastAsia="zh-CN"/>
        </w:rPr>
        <w:t>组织管理、工作运行、政策制度“三大体系”，</w:t>
      </w:r>
      <w:r>
        <w:rPr>
          <w:rFonts w:hint="eastAsia" w:eastAsia="仿宋_GB2312" w:cs="仿宋_GB2312"/>
          <w:i w:val="0"/>
          <w:iCs w:val="0"/>
          <w:caps w:val="0"/>
          <w:color w:val="auto"/>
          <w:spacing w:val="0"/>
          <w:sz w:val="32"/>
          <w:szCs w:val="32"/>
          <w:shd w:val="clear" w:color="auto" w:fill="FFFFFF"/>
          <w:vertAlign w:val="baseline"/>
          <w:lang w:val="en-US" w:eastAsia="zh-CN"/>
        </w:rPr>
        <w:t>着力完善退役军人服务保障制度，切实维护退役军人合法权益，全面落实各项优抚安置政策，提高退役军人就业和安置质量，创新发展英烈褒扬纪念工作</w:t>
      </w:r>
      <w:r>
        <w:rPr>
          <w:rFonts w:hint="eastAsia" w:eastAsia="仿宋_GB2312" w:cs="仿宋_GB2312"/>
          <w:i w:val="0"/>
          <w:iCs w:val="0"/>
          <w:caps w:val="0"/>
          <w:color w:val="auto"/>
          <w:spacing w:val="0"/>
          <w:sz w:val="32"/>
          <w:szCs w:val="32"/>
          <w:highlight w:val="none"/>
          <w:shd w:val="clear" w:color="auto" w:fill="FFFFFF"/>
          <w:vertAlign w:val="baseline"/>
          <w:lang w:val="en-US" w:eastAsia="zh-CN"/>
        </w:rPr>
        <w:t>，全力争创全国双拥模范县，</w:t>
      </w:r>
      <w:r>
        <w:rPr>
          <w:rFonts w:hint="eastAsia" w:ascii="仿宋_GB2312" w:hAnsi="仿宋_GB2312" w:eastAsia="仿宋_GB2312" w:cs="仿宋_GB2312"/>
          <w:sz w:val="32"/>
          <w:szCs w:val="32"/>
          <w:highlight w:val="none"/>
          <w:lang w:val="en-US" w:eastAsia="zh-CN"/>
        </w:rPr>
        <w:t>充分发挥双拥工作独特优势和退役军人优势作用，不断提升地方拥军支前能力，助推华池经济社会高质量发展</w:t>
      </w:r>
      <w:r>
        <w:rPr>
          <w:rFonts w:hint="eastAsia" w:eastAsia="仿宋_GB2312" w:cs="仿宋_GB2312"/>
          <w:i w:val="0"/>
          <w:iCs w:val="0"/>
          <w:caps w:val="0"/>
          <w:color w:val="auto"/>
          <w:spacing w:val="0"/>
          <w:sz w:val="32"/>
          <w:szCs w:val="32"/>
          <w:highlight w:val="none"/>
          <w:shd w:val="clear" w:color="auto" w:fill="FFFFFF"/>
          <w:vertAlign w:val="baseline"/>
          <w:lang w:val="en-US" w:eastAsia="zh-CN"/>
        </w:rPr>
        <w:t>。</w:t>
      </w:r>
    </w:p>
    <w:p w14:paraId="2939B76E">
      <w:pPr>
        <w:keepNext w:val="0"/>
        <w:keepLines w:val="0"/>
        <w:pageBreakBefore w:val="0"/>
        <w:kinsoku/>
        <w:wordWrap/>
        <w:overflowPunct/>
        <w:topLinePunct w:val="0"/>
        <w:autoSpaceDE/>
        <w:autoSpaceDN/>
        <w:bidi w:val="0"/>
        <w:adjustRightInd/>
        <w:snapToGrid w:val="0"/>
        <w:spacing w:line="600" w:lineRule="exact"/>
        <w:ind w:left="0" w:leftChars="0"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（三）整体支出绩效目标</w:t>
      </w:r>
      <w:r>
        <w:rPr>
          <w:rFonts w:hint="eastAsia" w:ascii="楷体_GB2312" w:hAnsi="楷体_GB2312" w:eastAsia="楷体_GB2312" w:cs="楷体_GB2312"/>
          <w:b/>
          <w:color w:val="000000"/>
          <w:sz w:val="30"/>
          <w:szCs w:val="30"/>
          <w:shd w:val="clear" w:color="auto" w:fill="FFFFFF"/>
          <w:lang w:val="en-US" w:eastAsia="zh-CN"/>
        </w:rPr>
        <w:t>及</w:t>
      </w:r>
      <w:r>
        <w:rPr>
          <w:rFonts w:hint="eastAsia" w:ascii="楷体_GB2312" w:hAnsi="楷体_GB2312" w:eastAsia="楷体_GB2312" w:cs="楷体_GB2312"/>
          <w:b/>
          <w:color w:val="000000"/>
          <w:sz w:val="30"/>
          <w:szCs w:val="30"/>
          <w:shd w:val="clear" w:color="auto" w:fill="FFFFFF"/>
        </w:rPr>
        <w:t>预算绩效管理开展情况</w:t>
      </w:r>
    </w:p>
    <w:p w14:paraId="3DB62323">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1.修订完善部门财务规章，健全财务制度。为进一步规范资金使用，健全财务内控制度。</w:t>
      </w:r>
    </w:p>
    <w:p w14:paraId="09A5E8A6">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2.科学编制预算，确保预算的完整性。在部门预算编报时认真分析研究，参照上年预算执行情况、部门支出绩效评价，结合当年重点工作、收支预测等科学编报，特别是在</w:t>
      </w:r>
      <w:r>
        <w:rPr>
          <w:rFonts w:hint="eastAsia" w:ascii="仿宋_GB2312" w:hAnsi="仿宋_GB2312" w:eastAsia="仿宋_GB2312" w:cs="仿宋_GB2312"/>
          <w:sz w:val="32"/>
          <w:szCs w:val="32"/>
          <w:lang w:val="en-US" w:eastAsia="zh-CN"/>
        </w:rPr>
        <w:t>各项</w:t>
      </w:r>
      <w:r>
        <w:rPr>
          <w:rFonts w:hint="eastAsia" w:ascii="仿宋_GB2312" w:hAnsi="仿宋_GB2312" w:eastAsia="仿宋_GB2312" w:cs="仿宋_GB2312"/>
          <w:sz w:val="32"/>
          <w:szCs w:val="32"/>
        </w:rPr>
        <w:t>资金申报上，要进行充分的调查研究，论证项目实施的充分性与必要性，合理测算所需财政资金，严格设置项目绩效目标。</w:t>
      </w:r>
    </w:p>
    <w:p w14:paraId="7A7F9E79">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3.严格预算支出，特别是严控“三公”经费支出，厉行勤俭节约，提高资金使用效益。</w:t>
      </w:r>
    </w:p>
    <w:p w14:paraId="61AA8CE9">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4.坚持预决算公开，提高预算执行透明度。严格按照财政部门要求及政府信息公开相关规定，在批复下达20日内予以公开，接受社会监督。</w:t>
      </w:r>
    </w:p>
    <w:p w14:paraId="0947058A">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资产管理合规合法、安全可靠。在资产购置、报废处置时，严格按照相关规定，报送国资、财政等部门审批，办理采购、入账、核销手续，同时实行资产实物与账务分开管理，做到实物有专人管，账务有专人核算，定期进行实物盘点，确保账实相符。</w:t>
      </w:r>
    </w:p>
    <w:p w14:paraId="686A18D1">
      <w:pPr>
        <w:keepNext w:val="0"/>
        <w:keepLines w:val="0"/>
        <w:pageBreakBefore w:val="0"/>
        <w:kinsoku/>
        <w:wordWrap/>
        <w:overflowPunct/>
        <w:topLinePunct w:val="0"/>
        <w:autoSpaceDE/>
        <w:autoSpaceDN/>
        <w:bidi w:val="0"/>
        <w:adjustRightInd/>
        <w:snapToGrid w:val="0"/>
        <w:spacing w:line="600" w:lineRule="exact"/>
        <w:ind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（五）预算执行情况</w:t>
      </w:r>
    </w:p>
    <w:p w14:paraId="44D88210">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全年预算收入</w:t>
      </w:r>
      <w:r>
        <w:rPr>
          <w:rFonts w:hint="eastAsia" w:ascii="仿宋_GB2312" w:hAnsi="仿宋_GB2312" w:eastAsia="仿宋_GB2312" w:cs="仿宋_GB2312"/>
          <w:sz w:val="32"/>
          <w:szCs w:val="32"/>
          <w:lang w:val="en-US" w:eastAsia="zh-CN"/>
        </w:rPr>
        <w:t>50.27万</w:t>
      </w:r>
      <w:r>
        <w:rPr>
          <w:rFonts w:hint="eastAsia" w:ascii="仿宋_GB2312" w:hAnsi="仿宋_GB2312" w:eastAsia="仿宋_GB2312" w:cs="仿宋_GB2312"/>
          <w:sz w:val="32"/>
          <w:szCs w:val="32"/>
        </w:rPr>
        <w:t>元，其中：财政拨款收入</w:t>
      </w:r>
      <w:r>
        <w:rPr>
          <w:rFonts w:hint="eastAsia" w:ascii="仿宋_GB2312" w:hAnsi="仿宋_GB2312" w:eastAsia="仿宋_GB2312" w:cs="仿宋_GB2312"/>
          <w:sz w:val="32"/>
          <w:szCs w:val="32"/>
          <w:lang w:val="en-US" w:eastAsia="zh-CN"/>
        </w:rPr>
        <w:t>50.27</w:t>
      </w:r>
      <w:r>
        <w:rPr>
          <w:rFonts w:hint="eastAsia" w:ascii="仿宋_GB2312" w:hAnsi="仿宋_GB2312" w:eastAsia="仿宋_GB2312" w:cs="仿宋_GB2312"/>
          <w:sz w:val="32"/>
          <w:szCs w:val="32"/>
        </w:rPr>
        <w:t>万元，占总收入的100%；全年总支出</w:t>
      </w:r>
      <w:r>
        <w:rPr>
          <w:rFonts w:hint="eastAsia" w:ascii="仿宋_GB2312" w:hAnsi="仿宋_GB2312" w:eastAsia="仿宋_GB2312" w:cs="仿宋_GB2312"/>
          <w:sz w:val="32"/>
          <w:szCs w:val="32"/>
          <w:lang w:val="en-US" w:eastAsia="zh-CN"/>
        </w:rPr>
        <w:t>50.83</w:t>
      </w:r>
      <w:r>
        <w:rPr>
          <w:rFonts w:hint="eastAsia" w:ascii="仿宋_GB2312" w:hAnsi="仿宋_GB2312" w:eastAsia="仿宋_GB2312" w:cs="仿宋_GB2312"/>
          <w:sz w:val="32"/>
          <w:szCs w:val="32"/>
        </w:rPr>
        <w:t>万元。</w:t>
      </w:r>
    </w:p>
    <w:p w14:paraId="494002C3">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1.各项收支占总支出的比重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单位：万元</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30"/>
        <w:gridCol w:w="2130"/>
        <w:gridCol w:w="2131"/>
        <w:gridCol w:w="2131"/>
      </w:tblGrid>
      <w:tr w14:paraId="42B93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130" w:type="dxa"/>
          </w:tcPr>
          <w:p w14:paraId="0498122A">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项目</w:t>
            </w:r>
          </w:p>
        </w:tc>
        <w:tc>
          <w:tcPr>
            <w:tcW w:w="2130" w:type="dxa"/>
          </w:tcPr>
          <w:p w14:paraId="68B97B4C">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决算收支数</w:t>
            </w:r>
          </w:p>
        </w:tc>
        <w:tc>
          <w:tcPr>
            <w:tcW w:w="2131" w:type="dxa"/>
          </w:tcPr>
          <w:p w14:paraId="69F1B1E9">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占比</w:t>
            </w:r>
          </w:p>
        </w:tc>
        <w:tc>
          <w:tcPr>
            <w:tcW w:w="2131" w:type="dxa"/>
          </w:tcPr>
          <w:p w14:paraId="650EE765">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备注</w:t>
            </w:r>
          </w:p>
        </w:tc>
      </w:tr>
      <w:tr w14:paraId="415CB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tcPr>
          <w:p w14:paraId="7796A653">
            <w:pPr>
              <w:keepNext w:val="0"/>
              <w:keepLines w:val="0"/>
              <w:pageBreakBefore w:val="0"/>
              <w:kinsoku/>
              <w:wordWrap/>
              <w:overflowPunct/>
              <w:topLinePunct w:val="0"/>
              <w:autoSpaceDE/>
              <w:autoSpaceDN/>
              <w:bidi w:val="0"/>
              <w:adjustRightInd/>
              <w:snapToGrid w:val="0"/>
              <w:spacing w:line="600" w:lineRule="exact"/>
              <w:ind w:left="0" w:left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人员经费</w:t>
            </w:r>
          </w:p>
        </w:tc>
        <w:tc>
          <w:tcPr>
            <w:tcW w:w="2130" w:type="dxa"/>
          </w:tcPr>
          <w:p w14:paraId="0845F7D7">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50.55</w:t>
            </w:r>
          </w:p>
        </w:tc>
        <w:tc>
          <w:tcPr>
            <w:tcW w:w="2131" w:type="dxa"/>
          </w:tcPr>
          <w:p w14:paraId="6F54FA05">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99.44</w:t>
            </w:r>
            <w:r>
              <w:rPr>
                <w:rFonts w:hint="eastAsia" w:ascii="仿宋_GB2312" w:hAnsi="仿宋_GB2312" w:eastAsia="仿宋_GB2312" w:cs="仿宋_GB2312"/>
                <w:sz w:val="30"/>
                <w:szCs w:val="30"/>
              </w:rPr>
              <w:t>%</w:t>
            </w:r>
          </w:p>
        </w:tc>
        <w:tc>
          <w:tcPr>
            <w:tcW w:w="2131" w:type="dxa"/>
          </w:tcPr>
          <w:p w14:paraId="5C7DE90B">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eastAsia" w:ascii="仿宋_GB2312" w:hAnsi="仿宋_GB2312" w:eastAsia="仿宋_GB2312" w:cs="仿宋_GB2312"/>
                <w:sz w:val="30"/>
                <w:szCs w:val="30"/>
              </w:rPr>
            </w:pPr>
          </w:p>
        </w:tc>
      </w:tr>
      <w:tr w14:paraId="43AD8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tcPr>
          <w:p w14:paraId="76F8E587">
            <w:pPr>
              <w:keepNext w:val="0"/>
              <w:keepLines w:val="0"/>
              <w:pageBreakBefore w:val="0"/>
              <w:kinsoku/>
              <w:wordWrap/>
              <w:overflowPunct/>
              <w:topLinePunct w:val="0"/>
              <w:autoSpaceDE/>
              <w:autoSpaceDN/>
              <w:bidi w:val="0"/>
              <w:adjustRightInd/>
              <w:snapToGrid w:val="0"/>
              <w:spacing w:line="600" w:lineRule="exact"/>
              <w:ind w:left="0" w:left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公用经费</w:t>
            </w:r>
          </w:p>
        </w:tc>
        <w:tc>
          <w:tcPr>
            <w:tcW w:w="2130" w:type="dxa"/>
          </w:tcPr>
          <w:p w14:paraId="43F0A481">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0.28</w:t>
            </w:r>
          </w:p>
        </w:tc>
        <w:tc>
          <w:tcPr>
            <w:tcW w:w="2131" w:type="dxa"/>
          </w:tcPr>
          <w:p w14:paraId="3CEC8BB5">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0.56</w:t>
            </w:r>
            <w:r>
              <w:rPr>
                <w:rFonts w:hint="eastAsia" w:ascii="仿宋_GB2312" w:hAnsi="仿宋_GB2312" w:eastAsia="仿宋_GB2312" w:cs="仿宋_GB2312"/>
                <w:sz w:val="30"/>
                <w:szCs w:val="30"/>
              </w:rPr>
              <w:t>%</w:t>
            </w:r>
          </w:p>
        </w:tc>
        <w:tc>
          <w:tcPr>
            <w:tcW w:w="2131" w:type="dxa"/>
          </w:tcPr>
          <w:p w14:paraId="6CE8A155">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eastAsia" w:ascii="仿宋_GB2312" w:hAnsi="仿宋_GB2312" w:eastAsia="仿宋_GB2312" w:cs="仿宋_GB2312"/>
                <w:sz w:val="30"/>
                <w:szCs w:val="30"/>
              </w:rPr>
            </w:pPr>
          </w:p>
        </w:tc>
      </w:tr>
      <w:tr w14:paraId="37472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30" w:type="dxa"/>
          </w:tcPr>
          <w:p w14:paraId="642B710F">
            <w:pPr>
              <w:keepNext w:val="0"/>
              <w:keepLines w:val="0"/>
              <w:pageBreakBefore w:val="0"/>
              <w:kinsoku/>
              <w:wordWrap/>
              <w:overflowPunct/>
              <w:topLinePunct w:val="0"/>
              <w:autoSpaceDE/>
              <w:autoSpaceDN/>
              <w:bidi w:val="0"/>
              <w:adjustRightInd/>
              <w:snapToGrid w:val="0"/>
              <w:spacing w:line="600" w:lineRule="exact"/>
              <w:ind w:left="0" w:leftChars="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项目经费</w:t>
            </w:r>
          </w:p>
        </w:tc>
        <w:tc>
          <w:tcPr>
            <w:tcW w:w="2130" w:type="dxa"/>
          </w:tcPr>
          <w:p w14:paraId="45AAC3BD">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0</w:t>
            </w:r>
          </w:p>
        </w:tc>
        <w:tc>
          <w:tcPr>
            <w:tcW w:w="2131" w:type="dxa"/>
          </w:tcPr>
          <w:p w14:paraId="2FEEA38C">
            <w:pPr>
              <w:keepNext w:val="0"/>
              <w:keepLines w:val="0"/>
              <w:pageBreakBefore w:val="0"/>
              <w:kinsoku/>
              <w:wordWrap/>
              <w:overflowPunct/>
              <w:topLinePunct w:val="0"/>
              <w:autoSpaceDE/>
              <w:autoSpaceDN/>
              <w:bidi w:val="0"/>
              <w:adjustRightInd/>
              <w:snapToGrid w:val="0"/>
              <w:spacing w:line="600" w:lineRule="exact"/>
              <w:ind w:left="0" w:leftChars="0"/>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w:t>
            </w:r>
          </w:p>
        </w:tc>
        <w:tc>
          <w:tcPr>
            <w:tcW w:w="2131" w:type="dxa"/>
          </w:tcPr>
          <w:p w14:paraId="274279E2">
            <w:pPr>
              <w:keepNext w:val="0"/>
              <w:keepLines w:val="0"/>
              <w:pageBreakBefore w:val="0"/>
              <w:kinsoku/>
              <w:wordWrap/>
              <w:overflowPunct/>
              <w:topLinePunct w:val="0"/>
              <w:autoSpaceDE/>
              <w:autoSpaceDN/>
              <w:bidi w:val="0"/>
              <w:adjustRightInd/>
              <w:snapToGrid w:val="0"/>
              <w:spacing w:line="600" w:lineRule="exact"/>
              <w:ind w:left="0" w:leftChars="0"/>
              <w:textAlignment w:val="auto"/>
              <w:rPr>
                <w:rFonts w:hint="eastAsia" w:ascii="仿宋_GB2312" w:hAnsi="仿宋_GB2312" w:eastAsia="仿宋_GB2312" w:cs="仿宋_GB2312"/>
                <w:sz w:val="30"/>
                <w:szCs w:val="30"/>
              </w:rPr>
            </w:pPr>
          </w:p>
        </w:tc>
      </w:tr>
    </w:tbl>
    <w:p w14:paraId="364B5E81">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.“三公”经费支出情况</w:t>
      </w:r>
    </w:p>
    <w:p w14:paraId="2C633C21">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本年度</w:t>
      </w:r>
      <w:r>
        <w:rPr>
          <w:rFonts w:hint="eastAsia" w:ascii="仿宋_GB2312" w:hAnsi="仿宋_GB2312" w:eastAsia="仿宋_GB2312" w:cs="仿宋_GB2312"/>
          <w:sz w:val="32"/>
          <w:szCs w:val="32"/>
        </w:rPr>
        <w:t xml:space="preserve">无三公经费支出。 </w:t>
      </w:r>
    </w:p>
    <w:p w14:paraId="28E96CE0">
      <w:pPr>
        <w:pStyle w:val="3"/>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26" w:lineRule="atLeas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在资金的使用过程中，</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高度重视经费的管理，为进一步严格经费管理，控制</w:t>
      </w:r>
      <w:r>
        <w:rPr>
          <w:rFonts w:hint="eastAsia" w:ascii="仿宋_GB2312" w:hAnsi="仿宋_GB2312" w:eastAsia="仿宋_GB2312" w:cs="仿宋_GB2312"/>
          <w:sz w:val="32"/>
          <w:szCs w:val="32"/>
          <w:lang w:val="en-US" w:eastAsia="zh-CN"/>
        </w:rPr>
        <w:t>义教</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直达资金</w:t>
      </w:r>
      <w:r>
        <w:rPr>
          <w:rFonts w:hint="eastAsia" w:ascii="仿宋_GB2312" w:hAnsi="仿宋_GB2312" w:eastAsia="仿宋_GB2312" w:cs="仿宋_GB2312"/>
          <w:sz w:val="32"/>
          <w:szCs w:val="32"/>
        </w:rPr>
        <w:t>支出，特别是</w:t>
      </w:r>
      <w:r>
        <w:rPr>
          <w:rFonts w:hint="eastAsia" w:ascii="仿宋_GB2312" w:hAnsi="仿宋_GB2312" w:eastAsia="仿宋_GB2312" w:cs="仿宋_GB2312"/>
          <w:sz w:val="32"/>
          <w:szCs w:val="32"/>
          <w:lang w:val="en-US" w:eastAsia="zh-CN"/>
        </w:rPr>
        <w:t>培训费</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严格执行</w:t>
      </w:r>
      <w:r>
        <w:rPr>
          <w:rFonts w:hint="eastAsia" w:ascii="仿宋_GB2312" w:hAnsi="仿宋_GB2312" w:eastAsia="仿宋_GB2312" w:cs="仿宋_GB2312"/>
          <w:sz w:val="32"/>
          <w:szCs w:val="32"/>
          <w:lang w:val="en-US" w:eastAsia="zh-CN"/>
        </w:rPr>
        <w:t>差旅费报销</w:t>
      </w:r>
      <w:r>
        <w:rPr>
          <w:rFonts w:hint="eastAsia" w:ascii="仿宋_GB2312" w:hAnsi="仿宋_GB2312" w:eastAsia="仿宋_GB2312" w:cs="仿宋_GB2312"/>
          <w:sz w:val="32"/>
          <w:szCs w:val="32"/>
        </w:rPr>
        <w:t xml:space="preserve">管理制度，严格按照审批权限对资金支付进行了审核、审批，并严格按照国家相关会计制度的规定进行核算，有效确保了资金的规范使用、高效使用。 </w:t>
      </w:r>
    </w:p>
    <w:p w14:paraId="2F098477">
      <w:pPr>
        <w:pStyle w:val="3"/>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26" w:lineRule="atLeast"/>
        <w:ind w:right="0" w:rightChars="0" w:firstLine="643" w:firstLineChars="200"/>
        <w:jc w:val="both"/>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lang w:eastAsia="zh-CN"/>
        </w:rPr>
        <w:t>（</w:t>
      </w:r>
      <w:r>
        <w:rPr>
          <w:rFonts w:hint="eastAsia" w:ascii="楷体" w:hAnsi="楷体" w:eastAsia="楷体" w:cs="楷体"/>
          <w:b/>
          <w:bCs/>
          <w:color w:val="000000"/>
          <w:sz w:val="32"/>
          <w:szCs w:val="32"/>
          <w:lang w:val="en-US" w:eastAsia="zh-CN"/>
        </w:rPr>
        <w:t>六</w:t>
      </w:r>
      <w:r>
        <w:rPr>
          <w:rFonts w:hint="eastAsia" w:ascii="楷体" w:hAnsi="楷体" w:eastAsia="楷体" w:cs="楷体"/>
          <w:b/>
          <w:bCs/>
          <w:color w:val="000000"/>
          <w:sz w:val="32"/>
          <w:szCs w:val="32"/>
          <w:lang w:eastAsia="zh-CN"/>
        </w:rPr>
        <w:t>）</w:t>
      </w:r>
      <w:r>
        <w:rPr>
          <w:rFonts w:hint="eastAsia" w:ascii="楷体" w:hAnsi="楷体" w:eastAsia="楷体" w:cs="楷体"/>
          <w:b/>
          <w:bCs/>
          <w:color w:val="000000"/>
          <w:sz w:val="32"/>
          <w:szCs w:val="32"/>
        </w:rPr>
        <w:t>整体支出绩效评价计分情况</w:t>
      </w:r>
    </w:p>
    <w:p w14:paraId="3CD388AC">
      <w:pPr>
        <w:pStyle w:val="3"/>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26" w:lineRule="atLeast"/>
        <w:ind w:right="0" w:rightChars="0"/>
        <w:jc w:val="both"/>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1.管理指标计10分，</w:t>
      </w:r>
      <w:r>
        <w:rPr>
          <w:rFonts w:hint="eastAsia" w:ascii="仿宋" w:hAnsi="仿宋" w:eastAsia="仿宋" w:cs="仿宋"/>
          <w:color w:val="000000"/>
          <w:sz w:val="32"/>
          <w:szCs w:val="32"/>
        </w:rPr>
        <w:t>实际得分</w:t>
      </w: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分</w:t>
      </w:r>
    </w:p>
    <w:p w14:paraId="2C44F6E8">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 w:lineRule="atLeast"/>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2.产出</w:t>
      </w:r>
      <w:r>
        <w:rPr>
          <w:rFonts w:hint="eastAsia" w:ascii="仿宋" w:hAnsi="仿宋" w:eastAsia="仿宋" w:cs="仿宋"/>
          <w:color w:val="000000"/>
          <w:sz w:val="32"/>
          <w:szCs w:val="32"/>
        </w:rPr>
        <w:t>指标计2</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分，实际得分2</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分。</w:t>
      </w:r>
    </w:p>
    <w:p w14:paraId="0A2828FC">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6" w:lineRule="atLeast"/>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3.效益</w:t>
      </w:r>
      <w:r>
        <w:rPr>
          <w:rFonts w:hint="eastAsia" w:ascii="仿宋" w:hAnsi="仿宋" w:eastAsia="仿宋" w:cs="仿宋"/>
          <w:color w:val="000000"/>
          <w:sz w:val="32"/>
          <w:szCs w:val="32"/>
        </w:rPr>
        <w:t>指标计45分，实际得分</w:t>
      </w:r>
      <w:r>
        <w:rPr>
          <w:rFonts w:hint="eastAsia" w:ascii="仿宋" w:hAnsi="仿宋" w:eastAsia="仿宋" w:cs="仿宋"/>
          <w:color w:val="000000"/>
          <w:sz w:val="32"/>
          <w:szCs w:val="32"/>
          <w:lang w:val="en-US" w:eastAsia="zh-CN"/>
        </w:rPr>
        <w:t>44</w:t>
      </w:r>
      <w:r>
        <w:rPr>
          <w:rFonts w:hint="eastAsia" w:ascii="仿宋" w:hAnsi="仿宋" w:eastAsia="仿宋" w:cs="仿宋"/>
          <w:color w:val="000000"/>
          <w:sz w:val="32"/>
          <w:szCs w:val="32"/>
        </w:rPr>
        <w:t>分。</w:t>
      </w:r>
    </w:p>
    <w:p w14:paraId="23CC7E7E">
      <w:pPr>
        <w:keepNext w:val="0"/>
        <w:keepLines w:val="0"/>
        <w:pageBreakBefore w:val="0"/>
        <w:kinsoku/>
        <w:wordWrap/>
        <w:overflowPunct/>
        <w:topLinePunct w:val="0"/>
        <w:autoSpaceDE/>
        <w:autoSpaceDN/>
        <w:bidi w:val="0"/>
        <w:adjustRightInd/>
        <w:spacing w:line="600" w:lineRule="exact"/>
        <w:jc w:val="left"/>
        <w:textAlignment w:val="auto"/>
        <w:rPr>
          <w:rFonts w:hint="eastAsia" w:ascii="仿宋_GB2312" w:hAnsi="仿宋_GB2312" w:eastAsia="仿宋_GB2312" w:cs="仿宋_GB2312"/>
          <w:sz w:val="32"/>
          <w:szCs w:val="32"/>
        </w:rPr>
      </w:pPr>
      <w:r>
        <w:rPr>
          <w:rFonts w:hint="eastAsia" w:ascii="仿宋" w:hAnsi="仿宋" w:eastAsia="仿宋" w:cs="仿宋"/>
          <w:color w:val="000000"/>
          <w:sz w:val="32"/>
          <w:szCs w:val="32"/>
          <w:lang w:val="en-US" w:eastAsia="zh-CN"/>
        </w:rPr>
        <w:t>4.满意度</w:t>
      </w:r>
      <w:r>
        <w:rPr>
          <w:rFonts w:hint="eastAsia" w:ascii="仿宋" w:hAnsi="仿宋" w:eastAsia="仿宋" w:cs="仿宋"/>
          <w:color w:val="000000"/>
          <w:sz w:val="32"/>
          <w:szCs w:val="32"/>
        </w:rPr>
        <w:t>指标计</w:t>
      </w:r>
      <w:r>
        <w:rPr>
          <w:rFonts w:hint="eastAsia" w:ascii="仿宋" w:hAnsi="仿宋" w:eastAsia="仿宋" w:cs="仿宋"/>
          <w:color w:val="000000"/>
          <w:sz w:val="32"/>
          <w:szCs w:val="32"/>
          <w:lang w:val="en-US" w:eastAsia="zh-CN"/>
        </w:rPr>
        <w:t>20</w:t>
      </w:r>
      <w:r>
        <w:rPr>
          <w:rFonts w:hint="eastAsia" w:ascii="仿宋" w:hAnsi="仿宋" w:eastAsia="仿宋" w:cs="仿宋"/>
          <w:color w:val="000000"/>
          <w:sz w:val="32"/>
          <w:szCs w:val="32"/>
        </w:rPr>
        <w:t>分，实际得分</w:t>
      </w:r>
      <w:r>
        <w:rPr>
          <w:rFonts w:hint="eastAsia" w:ascii="仿宋" w:hAnsi="仿宋" w:eastAsia="仿宋" w:cs="仿宋"/>
          <w:color w:val="000000"/>
          <w:sz w:val="32"/>
          <w:szCs w:val="32"/>
          <w:lang w:val="en-US" w:eastAsia="zh-CN"/>
        </w:rPr>
        <w:t>20</w:t>
      </w:r>
      <w:r>
        <w:rPr>
          <w:rFonts w:hint="eastAsia" w:ascii="仿宋" w:hAnsi="仿宋" w:eastAsia="仿宋" w:cs="仿宋"/>
          <w:color w:val="000000"/>
          <w:sz w:val="32"/>
          <w:szCs w:val="32"/>
        </w:rPr>
        <w:t>分。</w:t>
      </w:r>
    </w:p>
    <w:p w14:paraId="15AC3344">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黑体" w:hAnsi="黑体" w:eastAsia="黑体" w:cs="黑体"/>
          <w:b/>
          <w:color w:val="000000"/>
          <w:sz w:val="32"/>
          <w:szCs w:val="32"/>
          <w:shd w:val="clear" w:color="auto" w:fill="FFFFFF"/>
        </w:rPr>
      </w:pPr>
      <w:r>
        <w:rPr>
          <w:rFonts w:hint="eastAsia" w:ascii="黑体" w:hAnsi="黑体" w:eastAsia="黑体" w:cs="黑体"/>
          <w:b/>
          <w:color w:val="000000"/>
          <w:sz w:val="32"/>
          <w:szCs w:val="32"/>
          <w:shd w:val="clear" w:color="auto" w:fill="FFFFFF"/>
        </w:rPr>
        <w:t>二、部门整体支出绩效实现情况</w:t>
      </w:r>
    </w:p>
    <w:p w14:paraId="4C91CD95">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b w:val="0"/>
          <w:bCs w:val="0"/>
          <w:color w:val="auto"/>
          <w:kern w:val="2"/>
          <w:sz w:val="32"/>
          <w:szCs w:val="32"/>
          <w:lang w:val="en-US" w:eastAsia="zh-CN" w:bidi="ar-SA"/>
        </w:rPr>
        <w:t>2023年，</w:t>
      </w:r>
      <w:r>
        <w:rPr>
          <w:rFonts w:hint="default" w:ascii="Times New Roman" w:hAnsi="Times New Roman" w:eastAsia="仿宋_GB2312" w:cs="Times New Roman"/>
          <w:sz w:val="32"/>
          <w:szCs w:val="32"/>
          <w:lang w:val="en-US" w:eastAsia="zh-CN"/>
        </w:rPr>
        <w:t>在</w:t>
      </w:r>
      <w:r>
        <w:rPr>
          <w:rFonts w:hint="eastAsia" w:ascii="Times New Roman" w:hAnsi="Times New Roman" w:eastAsia="仿宋_GB2312" w:cs="Times New Roman"/>
          <w:sz w:val="32"/>
          <w:szCs w:val="32"/>
          <w:lang w:val="en-US" w:eastAsia="zh-CN"/>
        </w:rPr>
        <w:t>县</w:t>
      </w:r>
      <w:r>
        <w:rPr>
          <w:rFonts w:hint="default" w:ascii="Times New Roman" w:hAnsi="Times New Roman" w:eastAsia="仿宋_GB2312" w:cs="Times New Roman"/>
          <w:sz w:val="32"/>
          <w:szCs w:val="32"/>
          <w:lang w:val="en-US" w:eastAsia="zh-CN"/>
        </w:rPr>
        <w:t>委</w:t>
      </w:r>
      <w:r>
        <w:rPr>
          <w:rFonts w:hint="eastAsia" w:ascii="Times New Roman" w:hAnsi="Times New Roman" w:eastAsia="仿宋_GB2312" w:cs="Times New Roman"/>
          <w:sz w:val="32"/>
          <w:szCs w:val="32"/>
          <w:lang w:val="en-US" w:eastAsia="zh-CN"/>
        </w:rPr>
        <w:t>县</w:t>
      </w:r>
      <w:bookmarkStart w:id="0" w:name="_GoBack"/>
      <w:bookmarkEnd w:id="0"/>
      <w:r>
        <w:rPr>
          <w:rFonts w:hint="default" w:ascii="Times New Roman" w:hAnsi="Times New Roman" w:eastAsia="仿宋_GB2312" w:cs="Times New Roman"/>
          <w:sz w:val="32"/>
          <w:szCs w:val="32"/>
          <w:lang w:val="en-US" w:eastAsia="zh-CN"/>
        </w:rPr>
        <w:t>政府的坚强领导和省</w:t>
      </w:r>
      <w:r>
        <w:rPr>
          <w:rFonts w:hint="eastAsia" w:ascii="Times New Roman" w:hAnsi="Times New Roman" w:eastAsia="仿宋_GB2312" w:cs="Times New Roman"/>
          <w:sz w:val="32"/>
          <w:szCs w:val="32"/>
          <w:lang w:val="en-US" w:eastAsia="zh-CN"/>
        </w:rPr>
        <w:t>、市</w:t>
      </w:r>
      <w:r>
        <w:rPr>
          <w:rFonts w:hint="default" w:ascii="Times New Roman" w:hAnsi="Times New Roman" w:eastAsia="仿宋_GB2312" w:cs="Times New Roman"/>
          <w:sz w:val="32"/>
          <w:szCs w:val="32"/>
          <w:lang w:val="en-US" w:eastAsia="zh-CN"/>
        </w:rPr>
        <w:t>退役军人</w:t>
      </w:r>
      <w:r>
        <w:rPr>
          <w:rFonts w:hint="eastAsia" w:ascii="Times New Roman" w:hAnsi="Times New Roman" w:eastAsia="仿宋_GB2312" w:cs="Times New Roman"/>
          <w:sz w:val="32"/>
          <w:szCs w:val="32"/>
          <w:lang w:val="en-US" w:eastAsia="zh-CN"/>
        </w:rPr>
        <w:t>部门</w:t>
      </w:r>
      <w:r>
        <w:rPr>
          <w:rFonts w:hint="default" w:ascii="Times New Roman" w:hAnsi="Times New Roman" w:eastAsia="仿宋_GB2312" w:cs="Times New Roman"/>
          <w:sz w:val="32"/>
          <w:szCs w:val="32"/>
          <w:lang w:val="en-US" w:eastAsia="zh-CN"/>
        </w:rPr>
        <w:t>的指导支持下</w:t>
      </w:r>
      <w:r>
        <w:rPr>
          <w:rFonts w:hint="eastAsia" w:ascii="Times New Roman" w:hAnsi="Times New Roman" w:eastAsia="仿宋_GB2312" w:cs="Times New Roman"/>
          <w:sz w:val="32"/>
          <w:szCs w:val="32"/>
          <w:lang w:val="en-US" w:eastAsia="zh-CN"/>
        </w:rPr>
        <w:t>，华池县</w:t>
      </w:r>
      <w:r>
        <w:rPr>
          <w:rFonts w:hint="eastAsia" w:ascii="Times New Roman" w:hAnsi="Times New Roman" w:eastAsia="仿宋_GB2312" w:cs="仿宋_GB2312"/>
          <w:b w:val="0"/>
          <w:bCs w:val="0"/>
          <w:color w:val="auto"/>
          <w:kern w:val="2"/>
          <w:sz w:val="32"/>
          <w:szCs w:val="32"/>
          <w:lang w:val="en-US" w:eastAsia="zh-CN" w:bidi="ar-SA"/>
        </w:rPr>
        <w:t>退役军人事务工作坚持以习近平新时代中国特色社会主义思想为指导，全面贯彻落实党的二十大精神和习近平总书记对甘肃重要讲话</w:t>
      </w:r>
      <w:r>
        <w:rPr>
          <w:rFonts w:hint="eastAsia" w:ascii="Times New Roman" w:hAnsi="Times New Roman" w:eastAsia="仿宋_GB2312" w:cs="仿宋_GB2312"/>
          <w:color w:val="auto"/>
          <w:sz w:val="32"/>
          <w:szCs w:val="32"/>
          <w:lang w:val="en-US" w:eastAsia="zh-CN"/>
        </w:rPr>
        <w:t>和指示批示精神，深入贯彻落实新时代退役军人工作总要求，</w:t>
      </w:r>
      <w:r>
        <w:rPr>
          <w:rFonts w:hint="eastAsia" w:ascii="Times New Roman" w:hAnsi="Times New Roman" w:eastAsia="仿宋_GB2312" w:cs="Times New Roman"/>
          <w:i w:val="0"/>
          <w:caps w:val="0"/>
          <w:color w:val="auto"/>
          <w:spacing w:val="0"/>
          <w:kern w:val="0"/>
          <w:sz w:val="32"/>
          <w:szCs w:val="32"/>
          <w:lang w:val="en-US" w:eastAsia="zh-CN"/>
        </w:rPr>
        <w:t>围绕中心服务大局，</w:t>
      </w:r>
      <w:r>
        <w:rPr>
          <w:rFonts w:hint="eastAsia" w:ascii="Times New Roman" w:hAnsi="Times New Roman" w:eastAsia="仿宋_GB2312" w:cs="仿宋_GB2312"/>
          <w:color w:val="auto"/>
          <w:sz w:val="32"/>
          <w:szCs w:val="32"/>
        </w:rPr>
        <w:t>持续健全完善</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三大体系</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w:t>
      </w:r>
      <w:r>
        <w:rPr>
          <w:rFonts w:hint="eastAsia" w:ascii="Times New Roman" w:hAnsi="Times New Roman" w:eastAsia="仿宋_GB2312" w:cs="Times New Roman"/>
          <w:i w:val="0"/>
          <w:caps w:val="0"/>
          <w:color w:val="auto"/>
          <w:spacing w:val="0"/>
          <w:kern w:val="0"/>
          <w:sz w:val="32"/>
          <w:szCs w:val="32"/>
          <w:lang w:val="en-US" w:eastAsia="zh-CN"/>
        </w:rPr>
        <w:t>进一步</w:t>
      </w:r>
      <w:r>
        <w:rPr>
          <w:rFonts w:hint="eastAsia" w:ascii="Times New Roman" w:hAnsi="Times New Roman" w:eastAsia="仿宋_GB2312" w:cs="Times New Roman"/>
          <w:color w:val="auto"/>
          <w:kern w:val="0"/>
          <w:sz w:val="32"/>
          <w:szCs w:val="32"/>
        </w:rPr>
        <w:t>转变工作作风</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sz w:val="32"/>
          <w:szCs w:val="32"/>
          <w:highlight w:val="none"/>
          <w:lang w:val="en-US" w:eastAsia="zh-CN"/>
        </w:rPr>
        <w:t>强化工作措施、</w:t>
      </w:r>
      <w:r>
        <w:rPr>
          <w:rFonts w:hint="eastAsia" w:ascii="Times New Roman" w:hAnsi="Times New Roman" w:eastAsia="仿宋_GB2312" w:cs="仿宋_GB2312"/>
          <w:color w:val="auto"/>
          <w:sz w:val="32"/>
          <w:szCs w:val="32"/>
        </w:rPr>
        <w:t>创新工作思路，不断提升服务管理保障水平，有力有效防范化解重大风险，稳步推进</w:t>
      </w:r>
      <w:r>
        <w:rPr>
          <w:rFonts w:hint="eastAsia" w:ascii="Times New Roman" w:hAnsi="Times New Roman" w:eastAsia="仿宋_GB2312" w:cs="仿宋_GB2312"/>
          <w:color w:val="auto"/>
          <w:sz w:val="32"/>
          <w:szCs w:val="32"/>
          <w:lang w:val="en-US" w:eastAsia="zh-CN"/>
        </w:rPr>
        <w:t>全县退役军人事务工作</w:t>
      </w:r>
      <w:r>
        <w:rPr>
          <w:rFonts w:hint="eastAsia" w:ascii="Times New Roman" w:hAnsi="Times New Roman" w:eastAsia="仿宋_GB2312" w:cs="仿宋_GB2312"/>
          <w:color w:val="auto"/>
          <w:sz w:val="32"/>
          <w:szCs w:val="32"/>
        </w:rPr>
        <w:t>向上向好发展。</w:t>
      </w:r>
    </w:p>
    <w:p w14:paraId="6F2B6562">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1.利用有限的经费，取得最大的战果，呈现经费支出的经济性和效率性。</w:t>
      </w:r>
    </w:p>
    <w:p w14:paraId="417E52A7">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2.聚焦主责主业，扎实推进重点工作。强化权益保障，全县退役军人信访稳定可控</w:t>
      </w:r>
      <w:r>
        <w:rPr>
          <w:rFonts w:hint="eastAsia" w:ascii="仿宋_GB2312" w:hAnsi="仿宋_GB2312" w:eastAsia="仿宋_GB2312" w:cs="仿宋_GB2312"/>
          <w:sz w:val="32"/>
          <w:szCs w:val="32"/>
          <w:lang w:eastAsia="zh-CN"/>
        </w:rPr>
        <w:t>。</w:t>
      </w:r>
    </w:p>
    <w:p w14:paraId="052EB9A8">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3.加强财务日常监督工作，从</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的每笔收支入手，严格执行相关的财经政策，保证</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财务工作的真实性、完整性，维护</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的整体利益。</w:t>
      </w:r>
    </w:p>
    <w:p w14:paraId="32FD4F14">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黑体" w:hAnsi="黑体" w:eastAsia="黑体" w:cs="黑体"/>
          <w:b/>
          <w:color w:val="000000"/>
          <w:sz w:val="32"/>
          <w:szCs w:val="32"/>
          <w:shd w:val="clear" w:color="auto" w:fill="FFFFFF"/>
        </w:rPr>
      </w:pPr>
      <w:r>
        <w:rPr>
          <w:rFonts w:hint="eastAsia" w:ascii="黑体" w:hAnsi="黑体" w:eastAsia="黑体" w:cs="黑体"/>
          <w:b/>
          <w:color w:val="000000"/>
          <w:sz w:val="32"/>
          <w:szCs w:val="32"/>
          <w:shd w:val="clear" w:color="auto" w:fill="FFFFFF"/>
        </w:rPr>
        <w:t>三、部门整体支出绩效存在问题及改进措施</w:t>
      </w:r>
    </w:p>
    <w:p w14:paraId="03AB6AFC">
      <w:pPr>
        <w:keepNext w:val="0"/>
        <w:keepLines w:val="0"/>
        <w:pageBreakBefore w:val="0"/>
        <w:kinsoku/>
        <w:wordWrap/>
        <w:overflowPunct/>
        <w:topLinePunct w:val="0"/>
        <w:autoSpaceDE/>
        <w:autoSpaceDN/>
        <w:bidi w:val="0"/>
        <w:adjustRightInd/>
        <w:snapToGrid w:val="0"/>
        <w:spacing w:line="600" w:lineRule="exact"/>
        <w:ind w:left="0" w:leftChars="0"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（一）主要问题及原因分析</w:t>
      </w:r>
    </w:p>
    <w:p w14:paraId="40E5D884">
      <w:pPr>
        <w:keepNext w:val="0"/>
        <w:keepLines w:val="0"/>
        <w:pageBreakBefore w:val="0"/>
        <w:kinsoku/>
        <w:wordWrap/>
        <w:overflowPunct/>
        <w:topLinePunct w:val="0"/>
        <w:autoSpaceDE/>
        <w:autoSpaceDN/>
        <w:bidi w:val="0"/>
        <w:adjustRightInd/>
        <w:spacing w:line="600" w:lineRule="exact"/>
        <w:ind w:left="0" w:leftChars="0" w:firstLine="602" w:firstLineChars="200"/>
        <w:jc w:val="left"/>
        <w:textAlignment w:val="auto"/>
        <w:rPr>
          <w:rFonts w:hint="eastAsia" w:ascii="仿宋_GB2312" w:hAnsi="仿宋_GB2312" w:eastAsia="仿宋_GB2312" w:cs="仿宋_GB2312"/>
          <w:sz w:val="32"/>
          <w:szCs w:val="32"/>
        </w:rPr>
      </w:pPr>
      <w:r>
        <w:rPr>
          <w:rFonts w:hint="eastAsia" w:asciiTheme="minorEastAsia" w:hAnsiTheme="minorEastAsia"/>
          <w:b/>
          <w:sz w:val="30"/>
          <w:szCs w:val="30"/>
        </w:rPr>
        <w:t xml:space="preserve"> </w:t>
      </w:r>
      <w:r>
        <w:rPr>
          <w:rFonts w:hint="eastAsia" w:ascii="仿宋_GB2312" w:hAnsi="仿宋_GB2312" w:eastAsia="仿宋_GB2312" w:cs="仿宋_GB2312"/>
          <w:sz w:val="32"/>
          <w:szCs w:val="32"/>
        </w:rPr>
        <w:t>1.预算不够精细。在编制项目资金预算时，部分项目概况、实施方案、绩效目标等不具体、不细化，致使项目预算缺乏科学可靠的数据支撑，预算申报与财政实际批复存在较大差距。</w:t>
      </w:r>
    </w:p>
    <w:p w14:paraId="3527C736">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部分项目推进缓慢，资金支付率低。项目申报前期测算不科学，在财政资金到位后，才具体安排使用计划。财政下达预算批复后，由于前期手续复杂，衔接部门多，办理时间长，部分项目未能及时启动，影响了项目实施进度，导致资金支付进度缓慢，没有充分发挥财政资金的使用效益。</w:t>
      </w:r>
    </w:p>
    <w:p w14:paraId="592C56FA">
      <w:pPr>
        <w:keepNext w:val="0"/>
        <w:keepLines w:val="0"/>
        <w:pageBreakBefore w:val="0"/>
        <w:kinsoku/>
        <w:wordWrap/>
        <w:overflowPunct/>
        <w:topLinePunct w:val="0"/>
        <w:autoSpaceDE/>
        <w:autoSpaceDN/>
        <w:bidi w:val="0"/>
        <w:adjustRightInd/>
        <w:snapToGrid w:val="0"/>
        <w:spacing w:line="600" w:lineRule="exact"/>
        <w:ind w:left="0" w:leftChars="0" w:firstLine="602" w:firstLineChars="200"/>
        <w:textAlignment w:val="auto"/>
        <w:rPr>
          <w:rFonts w:hint="eastAsia" w:ascii="楷体_GB2312" w:hAnsi="楷体_GB2312" w:eastAsia="楷体_GB2312" w:cs="楷体_GB2312"/>
          <w:b/>
          <w:color w:val="000000"/>
          <w:sz w:val="30"/>
          <w:szCs w:val="30"/>
          <w:shd w:val="clear" w:color="auto" w:fill="FFFFFF"/>
        </w:rPr>
      </w:pPr>
      <w:r>
        <w:rPr>
          <w:rFonts w:hint="eastAsia" w:ascii="楷体_GB2312" w:hAnsi="楷体_GB2312" w:eastAsia="楷体_GB2312" w:cs="楷体_GB2312"/>
          <w:b/>
          <w:color w:val="000000"/>
          <w:sz w:val="30"/>
          <w:szCs w:val="30"/>
          <w:shd w:val="clear" w:color="auto" w:fill="FFFFFF"/>
        </w:rPr>
        <w:t>（二）改进措施</w:t>
      </w:r>
    </w:p>
    <w:p w14:paraId="2AFFE737">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1.增强预算编报的科学性、精准性。预算编报是预算执行的基础和依据，</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将进一步强化部门预算的科学性、精准性。</w:t>
      </w:r>
    </w:p>
    <w:p w14:paraId="5EB629B3">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2.加快项目实施进度，提升资金使用效益。 </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将严格按照财政部门下达的预算指标，及时推进项目实施，加强同财政、发改、</w:t>
      </w:r>
      <w:r>
        <w:rPr>
          <w:rFonts w:hint="eastAsia" w:ascii="仿宋_GB2312" w:hAnsi="仿宋_GB2312" w:eastAsia="仿宋_GB2312" w:cs="仿宋_GB2312"/>
          <w:sz w:val="32"/>
          <w:szCs w:val="32"/>
          <w:lang w:eastAsia="zh-CN"/>
        </w:rPr>
        <w:t>人社</w:t>
      </w:r>
      <w:r>
        <w:rPr>
          <w:rFonts w:hint="eastAsia" w:ascii="仿宋_GB2312" w:hAnsi="仿宋_GB2312" w:eastAsia="仿宋_GB2312" w:cs="仿宋_GB2312"/>
          <w:sz w:val="32"/>
          <w:szCs w:val="32"/>
        </w:rPr>
        <w:t>等部门的衔接沟通工作，建立项目清单管理制度全面加强项目资金的管理，及时办理项目的立项审批及采购招标等手续，确保项目尽早实施；在资金使用管理方面，严格规范操作，严格资金的使用范围，做到专款专用，确保资金支出的真实性、安全性、合理性，力争年终项目资金应支尽支，切实发挥财政资金的使用效益。</w:t>
      </w:r>
    </w:p>
    <w:p w14:paraId="7828842B">
      <w:pPr>
        <w:keepNext w:val="0"/>
        <w:keepLines w:val="0"/>
        <w:pageBreakBefore w:val="0"/>
        <w:kinsoku/>
        <w:wordWrap/>
        <w:overflowPunct/>
        <w:topLinePunct w:val="0"/>
        <w:autoSpaceDE/>
        <w:autoSpaceDN/>
        <w:bidi w:val="0"/>
        <w:adjustRightInd/>
        <w:spacing w:line="600" w:lineRule="exact"/>
        <w:ind w:left="0" w:leftChars="0" w:firstLine="643" w:firstLineChars="200"/>
        <w:jc w:val="left"/>
        <w:textAlignment w:val="auto"/>
        <w:rPr>
          <w:rFonts w:hint="eastAsia" w:ascii="黑体" w:hAnsi="黑体" w:eastAsia="黑体" w:cs="黑体"/>
          <w:b/>
          <w:color w:val="000000"/>
          <w:sz w:val="32"/>
          <w:szCs w:val="32"/>
          <w:shd w:val="clear" w:color="auto" w:fill="FFFFFF"/>
        </w:rPr>
      </w:pPr>
      <w:r>
        <w:rPr>
          <w:rFonts w:hint="eastAsia" w:ascii="黑体" w:hAnsi="黑体" w:eastAsia="黑体" w:cs="黑体"/>
          <w:b/>
          <w:color w:val="000000"/>
          <w:sz w:val="32"/>
          <w:szCs w:val="32"/>
          <w:shd w:val="clear" w:color="auto" w:fill="FFFFFF"/>
        </w:rPr>
        <w:t>四、绩效自评结果拟应用和公开情况</w:t>
      </w:r>
    </w:p>
    <w:p w14:paraId="3C1AF03F">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根据财政部门既定的指标，形成自评指标体系，结合部门财务报表、项目资料等自评资料，汇总分析和评价，综合结论为：</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部门整体支出工作能够按整体工作进度推进，总体工作取得良好成效，但在财务管理、项目管理方面还有改进空间。 综合评价得：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分。评价结果将按照相关要求，适时公开，接受社会监督。</w:t>
      </w:r>
    </w:p>
    <w:p w14:paraId="1BAE164C">
      <w:pPr>
        <w:keepNext w:val="0"/>
        <w:keepLines w:val="0"/>
        <w:pageBreakBefore w:val="0"/>
        <w:kinsoku/>
        <w:wordWrap/>
        <w:overflowPunct/>
        <w:topLinePunct w:val="0"/>
        <w:autoSpaceDE/>
        <w:autoSpaceDN/>
        <w:bidi w:val="0"/>
        <w:adjustRightInd/>
        <w:spacing w:line="60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420B6289">
      <w:pPr>
        <w:keepNext w:val="0"/>
        <w:keepLines w:val="0"/>
        <w:pageBreakBefore w:val="0"/>
        <w:kinsoku/>
        <w:wordWrap/>
        <w:overflowPunct/>
        <w:topLinePunct w:val="0"/>
        <w:autoSpaceDE/>
        <w:autoSpaceDN/>
        <w:bidi w:val="0"/>
        <w:adjustRightInd/>
        <w:spacing w:line="600" w:lineRule="exact"/>
        <w:ind w:left="5760" w:leftChars="0" w:hanging="5760" w:hangingChars="1800"/>
        <w:jc w:val="left"/>
        <w:textAlignment w:val="auto"/>
        <w:rPr>
          <w:rFonts w:hint="eastAsia" w:ascii="仿宋_GB2312" w:hAnsi="仿宋_GB2312" w:eastAsia="仿宋_GB2312" w:cs="仿宋_GB2312"/>
          <w:b/>
          <w:color w:val="000000"/>
          <w:sz w:val="32"/>
          <w:szCs w:val="32"/>
          <w:shd w:val="clear" w:color="auto" w:fill="FFFFFF"/>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华池县光荣院</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1NjE5NWQ4Nzg3M2NkNWQ1ZjA2ZWY4MWQ2MjE0ZDQifQ=="/>
  </w:docVars>
  <w:rsids>
    <w:rsidRoot w:val="006A08DF"/>
    <w:rsid w:val="00042382"/>
    <w:rsid w:val="00075414"/>
    <w:rsid w:val="00121A50"/>
    <w:rsid w:val="0012475E"/>
    <w:rsid w:val="0016254D"/>
    <w:rsid w:val="0020591F"/>
    <w:rsid w:val="00220657"/>
    <w:rsid w:val="002B3289"/>
    <w:rsid w:val="002E7D5E"/>
    <w:rsid w:val="002F29D4"/>
    <w:rsid w:val="00342991"/>
    <w:rsid w:val="00483E70"/>
    <w:rsid w:val="004E5E2D"/>
    <w:rsid w:val="005508CE"/>
    <w:rsid w:val="0058346F"/>
    <w:rsid w:val="005A3583"/>
    <w:rsid w:val="005F426C"/>
    <w:rsid w:val="006060D6"/>
    <w:rsid w:val="0062520A"/>
    <w:rsid w:val="006677B1"/>
    <w:rsid w:val="00680BC0"/>
    <w:rsid w:val="006A08DF"/>
    <w:rsid w:val="006D47E2"/>
    <w:rsid w:val="00705061"/>
    <w:rsid w:val="00716719"/>
    <w:rsid w:val="007517E9"/>
    <w:rsid w:val="00780BE9"/>
    <w:rsid w:val="007B3D52"/>
    <w:rsid w:val="008421B8"/>
    <w:rsid w:val="00870B23"/>
    <w:rsid w:val="008C1B52"/>
    <w:rsid w:val="00927928"/>
    <w:rsid w:val="0096495D"/>
    <w:rsid w:val="00975AB6"/>
    <w:rsid w:val="009B2DF8"/>
    <w:rsid w:val="009C1C00"/>
    <w:rsid w:val="009F0075"/>
    <w:rsid w:val="00A11B4C"/>
    <w:rsid w:val="00A170E6"/>
    <w:rsid w:val="00A17760"/>
    <w:rsid w:val="00A223CE"/>
    <w:rsid w:val="00A5442E"/>
    <w:rsid w:val="00A653CA"/>
    <w:rsid w:val="00A83562"/>
    <w:rsid w:val="00A86052"/>
    <w:rsid w:val="00AF383B"/>
    <w:rsid w:val="00B047C0"/>
    <w:rsid w:val="00B108FE"/>
    <w:rsid w:val="00B11FBE"/>
    <w:rsid w:val="00B91E04"/>
    <w:rsid w:val="00BE44CD"/>
    <w:rsid w:val="00C6670A"/>
    <w:rsid w:val="00C80764"/>
    <w:rsid w:val="00D22DE4"/>
    <w:rsid w:val="00D80319"/>
    <w:rsid w:val="00E15458"/>
    <w:rsid w:val="00E52387"/>
    <w:rsid w:val="00E718D9"/>
    <w:rsid w:val="00EB74A5"/>
    <w:rsid w:val="00FA1DCF"/>
    <w:rsid w:val="00FD6DC1"/>
    <w:rsid w:val="00FF4E98"/>
    <w:rsid w:val="096870F6"/>
    <w:rsid w:val="097033A9"/>
    <w:rsid w:val="161B48EC"/>
    <w:rsid w:val="22A74682"/>
    <w:rsid w:val="24453254"/>
    <w:rsid w:val="29196EBC"/>
    <w:rsid w:val="39CE572A"/>
    <w:rsid w:val="3ED73CE2"/>
    <w:rsid w:val="4A8232F8"/>
    <w:rsid w:val="51146ED3"/>
    <w:rsid w:val="5211340D"/>
    <w:rsid w:val="5BB60836"/>
    <w:rsid w:val="65DA2D9F"/>
    <w:rsid w:val="66A001EE"/>
    <w:rsid w:val="72AD019E"/>
    <w:rsid w:val="78BB214B"/>
    <w:rsid w:val="79110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after="120" w:line="480" w:lineRule="auto"/>
      <w:ind w:left="420" w:leftChars="200"/>
    </w:pPr>
  </w:style>
  <w:style w:type="paragraph" w:styleId="3">
    <w:name w:val="Normal (Web)"/>
    <w:basedOn w:val="1"/>
    <w:autoRedefine/>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4">
    <w:name w:val="Title"/>
    <w:basedOn w:val="1"/>
    <w:next w:val="1"/>
    <w:autoRedefine/>
    <w:qFormat/>
    <w:uiPriority w:val="99"/>
    <w:pPr>
      <w:adjustRightInd w:val="0"/>
      <w:snapToGrid w:val="0"/>
      <w:spacing w:beforeLines="100" w:afterLines="100"/>
      <w:jc w:val="center"/>
    </w:pPr>
    <w:rPr>
      <w:rFonts w:hAnsi="Arial" w:cs="Arial"/>
      <w:b/>
      <w:bCs/>
      <w:sz w:val="48"/>
      <w:szCs w:val="48"/>
    </w:rPr>
  </w:style>
  <w:style w:type="paragraph" w:customStyle="1" w:styleId="7">
    <w:name w:val="Normal"/>
    <w:autoRedefine/>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2504</Words>
  <Characters>2590</Characters>
  <Lines>34</Lines>
  <Paragraphs>9</Paragraphs>
  <TotalTime>1</TotalTime>
  <ScaleCrop>false</ScaleCrop>
  <LinksUpToDate>false</LinksUpToDate>
  <CharactersWithSpaces>2693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2020-05-21T08:08:00Z</dcterms:created>
  <dc:creator>AutoBVT</dc:creator>
  <cp:lastModifiedBy>lenovo</cp:lastModifiedBy>
  <cp:lastPrinted>2021-11-24T04:58:00Z</cp:lastPrinted>
  <dcterms:modified xsi:type="dcterms:W3CDTF">2024-09-20T08:57:14Z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EB57AA1FBBA34B94BA29875B85B3087C_13</vt:lpwstr>
  </property>
</Properties>
</file>