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F0840">
      <w:pPr>
        <w:spacing w:before="100" w:beforeLines="0" w:after="100" w:afterLines="0"/>
        <w:jc w:val="center"/>
        <w:rPr>
          <w:rFonts w:hint="eastAsia" w:ascii="宋体" w:hAnsi="宋体"/>
          <w:sz w:val="24"/>
          <w:szCs w:val="24"/>
          <w:lang w:val="zh-CN"/>
        </w:rPr>
      </w:pPr>
    </w:p>
    <w:p w14:paraId="3F1E7C54">
      <w:pPr>
        <w:spacing w:before="100" w:beforeLines="0" w:after="100" w:afterLines="0"/>
        <w:jc w:val="center"/>
        <w:rPr>
          <w:rFonts w:hint="eastAsia" w:ascii="宋体" w:hAnsi="宋体"/>
          <w:sz w:val="24"/>
          <w:szCs w:val="24"/>
          <w:lang w:val="zh-CN"/>
        </w:rPr>
      </w:pPr>
    </w:p>
    <w:p w14:paraId="2FE00E0F">
      <w:pPr>
        <w:spacing w:before="100" w:beforeLines="0" w:after="100" w:afterLines="0"/>
        <w:jc w:val="center"/>
        <w:rPr>
          <w:rFonts w:hint="eastAsia" w:ascii="宋体" w:hAnsi="宋体"/>
          <w:sz w:val="24"/>
          <w:szCs w:val="24"/>
          <w:lang w:val="zh-CN"/>
        </w:rPr>
      </w:pPr>
    </w:p>
    <w:p w14:paraId="5716B6FA">
      <w:pPr>
        <w:spacing w:before="100" w:beforeLines="0" w:after="100" w:afterLines="0"/>
        <w:jc w:val="center"/>
        <w:rPr>
          <w:rFonts w:hint="eastAsia" w:ascii="宋体" w:hAnsi="宋体"/>
          <w:sz w:val="24"/>
          <w:szCs w:val="24"/>
          <w:lang w:val="zh-CN"/>
        </w:rPr>
      </w:pPr>
      <w:bookmarkStart w:id="0" w:name="_GoBack"/>
      <w:bookmarkEnd w:id="0"/>
    </w:p>
    <w:p w14:paraId="15896927">
      <w:pPr>
        <w:spacing w:before="100" w:beforeLines="0" w:after="100" w:afterLines="0"/>
        <w:jc w:val="center"/>
        <w:rPr>
          <w:rFonts w:hint="eastAsia" w:ascii="宋体" w:hAnsi="宋体"/>
          <w:sz w:val="24"/>
          <w:szCs w:val="24"/>
          <w:lang w:val="zh-CN"/>
        </w:rPr>
      </w:pPr>
    </w:p>
    <w:p w14:paraId="6AE9F32F">
      <w:pPr>
        <w:spacing w:before="100" w:beforeLines="0" w:after="100" w:afterLines="0"/>
        <w:jc w:val="center"/>
        <w:rPr>
          <w:rFonts w:hint="eastAsia" w:ascii="宋体" w:hAnsi="宋体"/>
          <w:sz w:val="24"/>
          <w:szCs w:val="24"/>
          <w:lang w:val="zh-CN"/>
        </w:rPr>
      </w:pPr>
    </w:p>
    <w:p w14:paraId="4FAC10CC">
      <w:pPr>
        <w:spacing w:before="100" w:beforeLines="0" w:after="100" w:afterLines="0"/>
        <w:jc w:val="center"/>
        <w:rPr>
          <w:rFonts w:hint="eastAsia" w:ascii="宋体" w:hAnsi="宋体"/>
          <w:sz w:val="24"/>
          <w:szCs w:val="24"/>
          <w:lang w:val="zh-CN"/>
        </w:rPr>
      </w:pPr>
    </w:p>
    <w:p w14:paraId="57CDF390">
      <w:pPr>
        <w:spacing w:before="100" w:beforeLines="0" w:after="100" w:afterLines="0"/>
        <w:jc w:val="center"/>
        <w:rPr>
          <w:rFonts w:hint="eastAsia" w:ascii="宋体" w:hAnsi="宋体"/>
          <w:sz w:val="24"/>
          <w:szCs w:val="24"/>
          <w:lang w:val="zh-CN"/>
        </w:rPr>
      </w:pPr>
    </w:p>
    <w:p w14:paraId="53B0775E">
      <w:pPr>
        <w:spacing w:before="100" w:beforeLines="0" w:after="100" w:afterLines="0"/>
        <w:jc w:val="center"/>
        <w:rPr>
          <w:rFonts w:hint="eastAsia" w:ascii="宋体" w:hAnsi="宋体"/>
          <w:sz w:val="24"/>
          <w:szCs w:val="24"/>
          <w:lang w:val="zh-CN"/>
        </w:rPr>
      </w:pPr>
    </w:p>
    <w:p w14:paraId="0B95C589">
      <w:pPr>
        <w:spacing w:before="100" w:beforeLines="0" w:after="100" w:afterLines="0"/>
        <w:jc w:val="center"/>
        <w:rPr>
          <w:rFonts w:hint="eastAsia" w:ascii="宋体" w:hAnsi="宋体"/>
          <w:sz w:val="24"/>
          <w:szCs w:val="24"/>
          <w:lang w:val="zh-CN"/>
        </w:rPr>
      </w:pPr>
    </w:p>
    <w:p w14:paraId="2F546ED2">
      <w:pPr>
        <w:spacing w:before="100" w:beforeLines="0" w:after="100" w:afterLines="0"/>
        <w:jc w:val="center"/>
        <w:rPr>
          <w:rFonts w:hint="eastAsia" w:ascii="宋体" w:hAnsi="宋体"/>
          <w:sz w:val="24"/>
          <w:szCs w:val="24"/>
          <w:lang w:val="zh-CN"/>
        </w:rPr>
      </w:pPr>
    </w:p>
    <w:p w14:paraId="088F4FF8">
      <w:pPr>
        <w:spacing w:before="100" w:beforeLines="0" w:after="100" w:afterLines="0"/>
        <w:jc w:val="center"/>
        <w:rPr>
          <w:rFonts w:hint="eastAsia" w:ascii="宋体" w:hAnsi="宋体"/>
          <w:sz w:val="24"/>
          <w:szCs w:val="24"/>
          <w:lang w:val="zh-CN"/>
        </w:rPr>
      </w:pPr>
    </w:p>
    <w:p w14:paraId="5D83A05C">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533AA0A6">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华池县地方病防治办公室部门决算</w:t>
      </w:r>
    </w:p>
    <w:p w14:paraId="22368E2F">
      <w:pPr>
        <w:spacing w:before="100" w:beforeLines="0" w:after="100" w:afterLines="0"/>
        <w:jc w:val="center"/>
        <w:rPr>
          <w:rFonts w:hint="eastAsia" w:ascii="宋体" w:hAnsi="宋体"/>
          <w:sz w:val="24"/>
          <w:szCs w:val="24"/>
          <w:lang w:val="zh-CN"/>
        </w:rPr>
      </w:pPr>
    </w:p>
    <w:p w14:paraId="602078D8">
      <w:pPr>
        <w:spacing w:before="100" w:beforeLines="0" w:after="100" w:afterLines="0"/>
        <w:jc w:val="center"/>
        <w:rPr>
          <w:rFonts w:hint="eastAsia" w:ascii="宋体" w:hAnsi="宋体"/>
          <w:sz w:val="24"/>
          <w:szCs w:val="24"/>
          <w:lang w:val="zh-CN"/>
        </w:rPr>
      </w:pPr>
    </w:p>
    <w:p w14:paraId="411B2775">
      <w:pPr>
        <w:spacing w:before="100" w:beforeLines="0" w:after="100" w:afterLines="0"/>
        <w:jc w:val="center"/>
        <w:rPr>
          <w:rFonts w:hint="eastAsia" w:ascii="宋体" w:hAnsi="宋体"/>
          <w:sz w:val="24"/>
          <w:szCs w:val="24"/>
          <w:lang w:val="zh-CN"/>
        </w:rPr>
      </w:pPr>
    </w:p>
    <w:p w14:paraId="2B5ABFC4">
      <w:pPr>
        <w:spacing w:before="100" w:beforeLines="0" w:after="100" w:afterLines="0"/>
        <w:jc w:val="center"/>
        <w:rPr>
          <w:rFonts w:hint="eastAsia" w:ascii="宋体" w:hAnsi="宋体"/>
          <w:sz w:val="24"/>
          <w:szCs w:val="24"/>
          <w:lang w:val="zh-CN"/>
        </w:rPr>
      </w:pPr>
    </w:p>
    <w:p w14:paraId="41D9BCED">
      <w:pPr>
        <w:spacing w:before="100" w:beforeLines="0" w:after="100" w:afterLines="0"/>
        <w:jc w:val="center"/>
        <w:rPr>
          <w:rFonts w:hint="eastAsia" w:ascii="宋体" w:hAnsi="宋体"/>
          <w:sz w:val="24"/>
          <w:szCs w:val="24"/>
          <w:lang w:val="zh-CN"/>
        </w:rPr>
      </w:pPr>
    </w:p>
    <w:p w14:paraId="27BEEFAC">
      <w:pPr>
        <w:spacing w:before="100" w:beforeLines="0" w:after="100" w:afterLines="0"/>
        <w:jc w:val="center"/>
        <w:rPr>
          <w:rFonts w:hint="eastAsia" w:ascii="宋体" w:hAnsi="宋体"/>
          <w:sz w:val="24"/>
          <w:szCs w:val="24"/>
          <w:lang w:val="zh-CN"/>
        </w:rPr>
      </w:pPr>
    </w:p>
    <w:p w14:paraId="613CA60A">
      <w:pPr>
        <w:spacing w:before="100" w:beforeLines="0" w:after="100" w:afterLines="0"/>
        <w:jc w:val="center"/>
        <w:rPr>
          <w:rFonts w:hint="eastAsia" w:ascii="宋体" w:hAnsi="宋体"/>
          <w:sz w:val="24"/>
          <w:szCs w:val="24"/>
          <w:lang w:val="zh-CN"/>
        </w:rPr>
      </w:pPr>
    </w:p>
    <w:p w14:paraId="3A639CEF">
      <w:pPr>
        <w:spacing w:before="100" w:beforeLines="0" w:after="100" w:afterLines="0"/>
        <w:jc w:val="center"/>
        <w:rPr>
          <w:rFonts w:hint="eastAsia" w:ascii="宋体" w:hAnsi="宋体"/>
          <w:sz w:val="24"/>
          <w:szCs w:val="24"/>
          <w:lang w:val="zh-CN"/>
        </w:rPr>
      </w:pPr>
    </w:p>
    <w:p w14:paraId="1236DE2E">
      <w:pPr>
        <w:spacing w:before="100" w:beforeLines="0" w:after="100" w:afterLines="0"/>
        <w:jc w:val="center"/>
        <w:rPr>
          <w:rFonts w:hint="eastAsia" w:ascii="宋体" w:hAnsi="宋体"/>
          <w:sz w:val="24"/>
          <w:szCs w:val="24"/>
          <w:lang w:val="zh-CN"/>
        </w:rPr>
      </w:pPr>
    </w:p>
    <w:p w14:paraId="5DC2D29A">
      <w:pPr>
        <w:spacing w:before="100" w:beforeLines="0" w:after="100" w:afterLines="0"/>
        <w:jc w:val="center"/>
        <w:rPr>
          <w:rFonts w:hint="eastAsia" w:ascii="宋体" w:hAnsi="宋体"/>
          <w:sz w:val="24"/>
          <w:szCs w:val="24"/>
          <w:lang w:val="zh-CN"/>
        </w:rPr>
      </w:pPr>
    </w:p>
    <w:p w14:paraId="787C5A61">
      <w:pPr>
        <w:spacing w:before="100" w:beforeLines="0" w:after="100" w:afterLines="0"/>
        <w:jc w:val="center"/>
        <w:rPr>
          <w:rFonts w:hint="eastAsia" w:ascii="宋体" w:hAnsi="宋体"/>
          <w:sz w:val="24"/>
          <w:szCs w:val="24"/>
          <w:lang w:val="zh-CN"/>
        </w:rPr>
      </w:pPr>
    </w:p>
    <w:p w14:paraId="5479B647">
      <w:pPr>
        <w:spacing w:before="100" w:beforeLines="0" w:after="100" w:afterLines="0"/>
        <w:jc w:val="center"/>
        <w:rPr>
          <w:rFonts w:hint="eastAsia" w:ascii="宋体" w:hAnsi="宋体"/>
          <w:sz w:val="24"/>
          <w:szCs w:val="24"/>
          <w:lang w:val="zh-CN"/>
        </w:rPr>
      </w:pPr>
    </w:p>
    <w:p w14:paraId="54011A6E">
      <w:pPr>
        <w:spacing w:before="100" w:beforeLines="0" w:after="100" w:afterLines="0"/>
        <w:jc w:val="center"/>
        <w:rPr>
          <w:rFonts w:hint="eastAsia" w:ascii="宋体" w:hAnsi="宋体"/>
          <w:sz w:val="24"/>
          <w:szCs w:val="24"/>
          <w:lang w:val="zh-CN"/>
        </w:rPr>
      </w:pPr>
    </w:p>
    <w:p w14:paraId="53613069">
      <w:pPr>
        <w:spacing w:before="100" w:beforeLines="0" w:after="100" w:afterLines="0"/>
        <w:jc w:val="center"/>
        <w:rPr>
          <w:rFonts w:hint="eastAsia" w:ascii="宋体" w:hAnsi="宋体"/>
          <w:sz w:val="24"/>
          <w:szCs w:val="24"/>
          <w:lang w:val="zh-CN"/>
        </w:rPr>
      </w:pPr>
    </w:p>
    <w:p w14:paraId="3494DD96">
      <w:pPr>
        <w:spacing w:before="100" w:beforeLines="0" w:after="100" w:afterLines="0"/>
        <w:jc w:val="center"/>
        <w:rPr>
          <w:rFonts w:hint="eastAsia" w:ascii="宋体" w:hAnsi="宋体"/>
          <w:sz w:val="24"/>
          <w:szCs w:val="24"/>
          <w:lang w:val="zh-CN"/>
        </w:rPr>
      </w:pPr>
    </w:p>
    <w:p w14:paraId="5FAF4260">
      <w:pPr>
        <w:spacing w:before="100" w:beforeLines="0" w:after="100" w:afterLines="0"/>
        <w:jc w:val="center"/>
        <w:rPr>
          <w:rFonts w:hint="eastAsia" w:ascii="宋体" w:hAnsi="宋体"/>
          <w:sz w:val="24"/>
          <w:szCs w:val="24"/>
          <w:lang w:val="zh-CN"/>
        </w:rPr>
      </w:pPr>
    </w:p>
    <w:p w14:paraId="5B246CC8">
      <w:pPr>
        <w:spacing w:before="100" w:beforeLines="0" w:after="100" w:afterLines="0"/>
        <w:jc w:val="center"/>
        <w:rPr>
          <w:rFonts w:hint="eastAsia" w:ascii="宋体" w:hAnsi="宋体"/>
          <w:sz w:val="24"/>
          <w:szCs w:val="24"/>
          <w:lang w:val="zh-CN"/>
        </w:rPr>
      </w:pPr>
    </w:p>
    <w:p w14:paraId="106F464E">
      <w:pPr>
        <w:spacing w:before="100" w:beforeLines="0" w:after="100" w:afterLines="0"/>
        <w:jc w:val="center"/>
        <w:rPr>
          <w:rFonts w:hint="eastAsia" w:ascii="宋体" w:hAnsi="宋体"/>
          <w:sz w:val="24"/>
          <w:szCs w:val="24"/>
          <w:lang w:val="zh-CN"/>
        </w:rPr>
      </w:pPr>
    </w:p>
    <w:p w14:paraId="755A0F16">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0B473454">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05E1649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24FD824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2A5DCE5D">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736CA01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238E677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2ACB7CF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0156A44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5EF189B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42991F9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5E6D22C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0558564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129E3A6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64E5507D">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21B7E9B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27380AA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3793DB0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56B9D1F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3DAFBB8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70C712C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2E090277">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797C266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660617A4">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28129379">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0558C42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5971523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6700D4D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72C6C0E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5365FE9F">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72FDB98C">
      <w:pPr>
        <w:spacing w:before="100" w:beforeLines="0" w:after="100" w:afterLines="0"/>
        <w:jc w:val="center"/>
        <w:rPr>
          <w:rFonts w:hint="eastAsia" w:ascii="宋体" w:hAnsi="宋体"/>
          <w:sz w:val="24"/>
          <w:szCs w:val="24"/>
          <w:lang w:val="zh-CN"/>
        </w:rPr>
      </w:pPr>
    </w:p>
    <w:p w14:paraId="224E894D">
      <w:pPr>
        <w:spacing w:before="100" w:beforeLines="0" w:after="100" w:afterLines="0"/>
        <w:jc w:val="center"/>
        <w:rPr>
          <w:rFonts w:hint="eastAsia" w:ascii="宋体" w:hAnsi="宋体"/>
          <w:sz w:val="24"/>
          <w:szCs w:val="24"/>
          <w:lang w:val="zh-CN"/>
        </w:rPr>
      </w:pPr>
    </w:p>
    <w:p w14:paraId="20D50676">
      <w:pPr>
        <w:spacing w:before="100" w:beforeLines="0" w:after="100" w:afterLines="0"/>
        <w:jc w:val="center"/>
        <w:rPr>
          <w:rFonts w:hint="eastAsia" w:ascii="宋体" w:hAnsi="宋体"/>
          <w:sz w:val="24"/>
          <w:szCs w:val="24"/>
          <w:lang w:val="zh-CN"/>
        </w:rPr>
      </w:pPr>
    </w:p>
    <w:p w14:paraId="5F6606DC">
      <w:pPr>
        <w:spacing w:before="100" w:beforeLines="0" w:after="100" w:afterLines="0"/>
        <w:jc w:val="center"/>
        <w:rPr>
          <w:rFonts w:hint="eastAsia" w:ascii="宋体" w:hAnsi="宋体"/>
          <w:sz w:val="24"/>
          <w:szCs w:val="24"/>
          <w:lang w:val="zh-CN"/>
        </w:rPr>
      </w:pPr>
    </w:p>
    <w:p w14:paraId="2ACFC632">
      <w:pPr>
        <w:spacing w:before="100" w:beforeLines="0" w:after="100" w:afterLines="0"/>
        <w:jc w:val="center"/>
        <w:rPr>
          <w:rFonts w:hint="eastAsia" w:ascii="宋体" w:hAnsi="宋体"/>
          <w:sz w:val="24"/>
          <w:szCs w:val="24"/>
          <w:lang w:val="zh-CN"/>
        </w:rPr>
      </w:pPr>
    </w:p>
    <w:p w14:paraId="5626DC65">
      <w:pPr>
        <w:spacing w:before="100" w:beforeLines="0" w:after="100" w:afterLines="0"/>
        <w:jc w:val="center"/>
        <w:rPr>
          <w:rFonts w:hint="eastAsia" w:ascii="宋体" w:hAnsi="宋体"/>
          <w:sz w:val="24"/>
          <w:szCs w:val="24"/>
          <w:lang w:val="zh-CN"/>
        </w:rPr>
      </w:pPr>
    </w:p>
    <w:p w14:paraId="5BAE05C9">
      <w:pPr>
        <w:spacing w:before="100" w:beforeLines="0" w:after="100" w:afterLines="0"/>
        <w:jc w:val="center"/>
        <w:rPr>
          <w:rFonts w:hint="eastAsia" w:ascii="宋体" w:hAnsi="宋体"/>
          <w:sz w:val="24"/>
          <w:szCs w:val="24"/>
          <w:lang w:val="zh-CN"/>
        </w:rPr>
      </w:pPr>
    </w:p>
    <w:p w14:paraId="4429BEC4">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79DEC73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4A2355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444" w:lineRule="atLeast"/>
        <w:ind w:left="0" w:right="0" w:firstLine="660"/>
        <w:jc w:val="left"/>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zh-CN"/>
        </w:rPr>
        <w:t>我单位隶属县卫生健康局下属二级参照公务员法管理事业单位，主要从事以下工作：</w:t>
      </w:r>
    </w:p>
    <w:p w14:paraId="3186FF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444" w:lineRule="atLeast"/>
        <w:ind w:left="0" w:right="0" w:firstLine="528"/>
        <w:jc w:val="left"/>
        <w:rPr>
          <w:rFonts w:hint="eastAsia" w:ascii="宋体" w:hAnsi="宋体" w:eastAsia="宋体" w:cstheme="minorBidi"/>
          <w:color w:val="auto"/>
          <w:kern w:val="2"/>
          <w:sz w:val="24"/>
          <w:szCs w:val="24"/>
          <w:lang w:val="zh-CN"/>
        </w:rPr>
      </w:pPr>
      <w:r>
        <w:rPr>
          <w:rFonts w:hint="default" w:ascii="宋体" w:hAnsi="宋体" w:eastAsia="宋体" w:cstheme="minorBidi"/>
          <w:color w:val="auto"/>
          <w:kern w:val="2"/>
          <w:sz w:val="24"/>
          <w:szCs w:val="24"/>
          <w:lang w:val="zh-CN"/>
        </w:rPr>
        <w:t>  （一）负责拟订地方病防治规划、监测方案及年度工作计划，并组织实施。</w:t>
      </w:r>
    </w:p>
    <w:p w14:paraId="7ABDF1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444" w:lineRule="atLeast"/>
        <w:ind w:left="0" w:right="0" w:firstLine="660"/>
        <w:jc w:val="left"/>
        <w:rPr>
          <w:rFonts w:hint="eastAsia" w:ascii="宋体" w:hAnsi="宋体" w:eastAsia="宋体" w:cstheme="minorBidi"/>
          <w:color w:val="auto"/>
          <w:kern w:val="2"/>
          <w:sz w:val="24"/>
          <w:szCs w:val="24"/>
          <w:lang w:val="zh-CN"/>
        </w:rPr>
      </w:pPr>
      <w:r>
        <w:rPr>
          <w:rFonts w:hint="default" w:ascii="宋体" w:hAnsi="宋体" w:eastAsia="宋体" w:cstheme="minorBidi"/>
          <w:color w:val="auto"/>
          <w:kern w:val="2"/>
          <w:sz w:val="24"/>
          <w:szCs w:val="24"/>
          <w:lang w:val="zh-CN"/>
        </w:rPr>
        <w:t>（二）具体负责全县碘缺乏病、大骨节病、克山病、地方性氟中毒、包虫病、布鲁氏菌病和麻风病的查、防、治、监测及健康教育工作。</w:t>
      </w:r>
    </w:p>
    <w:p w14:paraId="79EDAE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444" w:lineRule="atLeast"/>
        <w:ind w:left="0" w:right="0" w:firstLine="660"/>
        <w:jc w:val="left"/>
        <w:rPr>
          <w:rFonts w:hint="eastAsia" w:ascii="宋体" w:hAnsi="宋体" w:eastAsia="宋体" w:cstheme="minorBidi"/>
          <w:color w:val="auto"/>
          <w:kern w:val="2"/>
          <w:sz w:val="24"/>
          <w:szCs w:val="24"/>
          <w:lang w:val="zh-CN"/>
        </w:rPr>
      </w:pPr>
      <w:r>
        <w:rPr>
          <w:rFonts w:hint="default" w:ascii="宋体" w:hAnsi="宋体" w:eastAsia="宋体" w:cstheme="minorBidi"/>
          <w:color w:val="auto"/>
          <w:kern w:val="2"/>
          <w:sz w:val="24"/>
          <w:szCs w:val="24"/>
          <w:lang w:val="zh-CN"/>
        </w:rPr>
        <w:t>（三）建立健全地方病报告制度，开展地方病防治工作调查，掌握我县地方病基本情况，为制定防治措施提供依据。</w:t>
      </w:r>
    </w:p>
    <w:p w14:paraId="7D0CD2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444" w:lineRule="atLeast"/>
        <w:ind w:left="0" w:right="0" w:firstLine="660"/>
        <w:jc w:val="left"/>
        <w:rPr>
          <w:rFonts w:hint="eastAsia" w:ascii="宋体" w:hAnsi="宋体" w:eastAsia="宋体" w:cstheme="minorBidi"/>
          <w:color w:val="auto"/>
          <w:kern w:val="2"/>
          <w:sz w:val="24"/>
          <w:szCs w:val="24"/>
          <w:lang w:val="zh-CN"/>
        </w:rPr>
      </w:pPr>
      <w:r>
        <w:rPr>
          <w:rFonts w:hint="default" w:ascii="宋体" w:hAnsi="宋体" w:eastAsia="宋体" w:cstheme="minorBidi"/>
          <w:color w:val="auto"/>
          <w:kern w:val="2"/>
          <w:sz w:val="24"/>
          <w:szCs w:val="24"/>
          <w:lang w:val="zh-CN"/>
        </w:rPr>
        <w:t>（四）组织协调有关部门参与地方病防治活动，充分发挥“学生-学校-家庭-社会”宣传链作用。</w:t>
      </w:r>
    </w:p>
    <w:p w14:paraId="2E081D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444" w:lineRule="atLeast"/>
        <w:ind w:left="0" w:right="0" w:firstLine="660"/>
        <w:jc w:val="left"/>
        <w:rPr>
          <w:rFonts w:hint="eastAsia" w:ascii="宋体" w:hAnsi="宋体" w:eastAsia="宋体" w:cstheme="minorBidi"/>
          <w:color w:val="auto"/>
          <w:kern w:val="2"/>
          <w:sz w:val="24"/>
          <w:szCs w:val="24"/>
          <w:lang w:val="zh-CN"/>
        </w:rPr>
      </w:pPr>
      <w:r>
        <w:rPr>
          <w:rFonts w:hint="default" w:ascii="宋体" w:hAnsi="宋体" w:eastAsia="宋体" w:cstheme="minorBidi"/>
          <w:color w:val="auto"/>
          <w:kern w:val="2"/>
          <w:sz w:val="24"/>
          <w:szCs w:val="24"/>
          <w:lang w:val="zh-CN"/>
        </w:rPr>
        <w:t>（五）普及群众性地方病防治科学知识，增强病区群众的自我保健与自我参与意识。</w:t>
      </w:r>
    </w:p>
    <w:p w14:paraId="018D3F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444" w:lineRule="atLeast"/>
        <w:ind w:left="0" w:right="0" w:firstLine="660"/>
        <w:jc w:val="left"/>
        <w:rPr>
          <w:rFonts w:hint="eastAsia" w:ascii="宋体" w:hAnsi="宋体" w:eastAsia="宋体" w:cstheme="minorBidi"/>
          <w:color w:val="auto"/>
          <w:kern w:val="2"/>
          <w:sz w:val="24"/>
          <w:szCs w:val="24"/>
          <w:lang w:val="zh-CN"/>
        </w:rPr>
      </w:pPr>
      <w:r>
        <w:rPr>
          <w:rFonts w:hint="default" w:ascii="宋体" w:hAnsi="宋体" w:eastAsia="宋体" w:cstheme="minorBidi"/>
          <w:color w:val="auto"/>
          <w:kern w:val="2"/>
          <w:sz w:val="24"/>
          <w:szCs w:val="24"/>
          <w:lang w:val="zh-CN"/>
        </w:rPr>
        <w:t>（六）配合盐务部门，依法管理盐业市场，严厉打击非碘盐的销售，净化碘盐流通市场，确保全民食用合格碘盐。</w:t>
      </w:r>
    </w:p>
    <w:p w14:paraId="77D6032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45AC6E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648"/>
        <w:jc w:val="left"/>
        <w:rPr>
          <w:rFonts w:hint="eastAsia" w:asciiTheme="minorEastAsia" w:hAnsiTheme="minorEastAsia" w:eastAsiaTheme="minorEastAsia" w:cstheme="minorEastAsia"/>
          <w:i w:val="0"/>
          <w:iCs w:val="0"/>
          <w:caps w:val="0"/>
          <w:color w:val="333333"/>
          <w:spacing w:val="0"/>
          <w:sz w:val="24"/>
          <w:szCs w:val="24"/>
        </w:rPr>
      </w:pPr>
      <w:r>
        <w:rPr>
          <w:rStyle w:val="6"/>
          <w:rFonts w:hint="eastAsia" w:asciiTheme="minorEastAsia" w:hAnsiTheme="minorEastAsia" w:eastAsiaTheme="minorEastAsia" w:cstheme="minorEastAsia"/>
          <w:b/>
          <w:bCs/>
          <w:i w:val="0"/>
          <w:iCs w:val="0"/>
          <w:caps w:val="0"/>
          <w:color w:val="333333"/>
          <w:spacing w:val="0"/>
          <w:sz w:val="24"/>
          <w:szCs w:val="24"/>
          <w:bdr w:val="none" w:color="auto" w:sz="0" w:space="0"/>
          <w:shd w:val="clear" w:fill="FFFFFF"/>
        </w:rPr>
        <w:t> (一）机关内设机构。</w:t>
      </w:r>
      <w:r>
        <w:rPr>
          <w:rFonts w:hint="eastAsia" w:asciiTheme="minorEastAsia" w:hAnsiTheme="minorEastAsia" w:eastAsiaTheme="minorEastAsia" w:cstheme="minorEastAsia"/>
          <w:i w:val="0"/>
          <w:iCs w:val="0"/>
          <w:caps w:val="0"/>
          <w:color w:val="333333"/>
          <w:spacing w:val="0"/>
          <w:sz w:val="24"/>
          <w:szCs w:val="24"/>
          <w:bdr w:val="none" w:color="auto" w:sz="0" w:space="0"/>
          <w:shd w:val="clear" w:fill="FFFFFF"/>
        </w:rPr>
        <w:t>我单位内设2个职能股室,包括:办公室、业务股。 </w:t>
      </w:r>
    </w:p>
    <w:p w14:paraId="4CBDD9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648"/>
        <w:jc w:val="left"/>
        <w:rPr>
          <w:rFonts w:hint="eastAsia" w:asciiTheme="minorEastAsia" w:hAnsiTheme="minorEastAsia" w:eastAsiaTheme="minorEastAsia" w:cstheme="minorEastAsia"/>
          <w:i w:val="0"/>
          <w:iCs w:val="0"/>
          <w:caps w:val="0"/>
          <w:color w:val="333333"/>
          <w:spacing w:val="0"/>
          <w:sz w:val="24"/>
          <w:szCs w:val="24"/>
        </w:rPr>
      </w:pPr>
      <w:r>
        <w:rPr>
          <w:rStyle w:val="6"/>
          <w:rFonts w:hint="eastAsia" w:asciiTheme="minorEastAsia" w:hAnsiTheme="minorEastAsia" w:eastAsiaTheme="minorEastAsia" w:cstheme="minorEastAsia"/>
          <w:b/>
          <w:bCs/>
          <w:i w:val="0"/>
          <w:iCs w:val="0"/>
          <w:caps w:val="0"/>
          <w:color w:val="333333"/>
          <w:spacing w:val="0"/>
          <w:sz w:val="24"/>
          <w:szCs w:val="24"/>
          <w:bdr w:val="none" w:color="auto" w:sz="0" w:space="0"/>
          <w:shd w:val="clear" w:fill="FFFFFF"/>
        </w:rPr>
        <w:t>（二）人员情况。</w:t>
      </w:r>
      <w:r>
        <w:rPr>
          <w:rFonts w:hint="eastAsia" w:asciiTheme="minorEastAsia" w:hAnsiTheme="minorEastAsia" w:eastAsiaTheme="minorEastAsia" w:cstheme="minorEastAsia"/>
          <w:i w:val="0"/>
          <w:iCs w:val="0"/>
          <w:caps w:val="0"/>
          <w:color w:val="333333"/>
          <w:spacing w:val="0"/>
          <w:sz w:val="24"/>
          <w:szCs w:val="24"/>
          <w:bdr w:val="none" w:color="auto" w:sz="0" w:space="0"/>
          <w:shd w:val="clear" w:fill="FFFFFF"/>
        </w:rPr>
        <w:t>2021年度，我单位共有编制5名，其中：行政编制3名，事业编制2名。财政供养总人数14名，其中正式职工10名，退休人员4名，移交社保中心退休金发放人员4名。</w:t>
      </w:r>
    </w:p>
    <w:p w14:paraId="1493AA3D">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645A45B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36F3C70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47FE282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122F46E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3C8DFD8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410ECDB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256D8E9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6DBAA45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6C1CC08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661790D1">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4BDF7D2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562DE92B">
      <w:pPr>
        <w:spacing w:before="100" w:beforeLines="0" w:after="100" w:afterLines="0"/>
        <w:jc w:val="left"/>
        <w:rPr>
          <w:rFonts w:hint="eastAsia" w:ascii="宋体" w:hAnsi="宋体"/>
          <w:color w:val="FF0000"/>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174.65万元。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减少255.59万元,下降59.41%,主要原因是</w:t>
      </w:r>
      <w:r>
        <w:rPr>
          <w:rFonts w:hint="eastAsia" w:ascii="宋体" w:hAnsi="宋体"/>
          <w:color w:val="auto"/>
          <w:sz w:val="24"/>
          <w:szCs w:val="24"/>
          <w:lang w:val="en-US" w:eastAsia="zh-CN"/>
        </w:rPr>
        <w:t>地方病项目减少。</w:t>
      </w:r>
    </w:p>
    <w:p w14:paraId="0B0354D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4A0FA06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2023年度收入合计174.65万元,其中：财政拨款收入174.65万元,占100.00%。</w:t>
      </w:r>
    </w:p>
    <w:p w14:paraId="465DB64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033BA2A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2023年度支出合计174.65万元,其中：基本支出94.90万元,占54.34%；项目支出79.75万元,占45.66%。</w:t>
      </w:r>
    </w:p>
    <w:p w14:paraId="6C9C64A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2724743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174.65万元。与</w:t>
      </w:r>
      <w:r>
        <w:rPr>
          <w:rFonts w:hint="eastAsia" w:ascii="宋体" w:hAnsi="宋体"/>
          <w:color w:val="auto"/>
          <w:sz w:val="24"/>
          <w:szCs w:val="24"/>
          <w:lang w:val="en-US"/>
        </w:rPr>
        <w:t>上</w:t>
      </w:r>
      <w:r>
        <w:rPr>
          <w:rFonts w:hint="eastAsia" w:ascii="宋体" w:hAnsi="宋体"/>
          <w:color w:val="auto"/>
          <w:sz w:val="24"/>
          <w:szCs w:val="24"/>
          <w:lang w:val="zh-CN"/>
        </w:rPr>
        <w:t>年相比,各减少255.58万元,下降59.41%。主要原因是</w:t>
      </w:r>
      <w:r>
        <w:rPr>
          <w:rFonts w:hint="eastAsia" w:ascii="宋体" w:hAnsi="宋体"/>
          <w:color w:val="auto"/>
          <w:sz w:val="24"/>
          <w:szCs w:val="24"/>
          <w:lang w:val="en-US" w:eastAsia="zh-CN"/>
        </w:rPr>
        <w:t>地方病项目减少</w:t>
      </w:r>
      <w:r>
        <w:rPr>
          <w:rFonts w:hint="eastAsia" w:ascii="宋体" w:hAnsi="宋体"/>
          <w:color w:val="auto"/>
          <w:sz w:val="24"/>
          <w:szCs w:val="24"/>
          <w:lang w:val="zh-CN"/>
        </w:rPr>
        <w:t>。</w:t>
      </w:r>
    </w:p>
    <w:p w14:paraId="4FB79F5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2BDF236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66912B44">
      <w:pPr>
        <w:spacing w:before="100" w:beforeLines="0" w:after="100" w:afterLines="0"/>
        <w:jc w:val="left"/>
        <w:rPr>
          <w:rFonts w:hint="eastAsia" w:ascii="宋体" w:hAnsi="宋体" w:eastAsia="宋体"/>
          <w:color w:val="FF0000"/>
          <w:sz w:val="24"/>
          <w:szCs w:val="24"/>
          <w:lang w:val="en-US" w:eastAsia="zh-CN"/>
        </w:rPr>
      </w:pPr>
      <w:r>
        <w:rPr>
          <w:rFonts w:hint="eastAsia" w:ascii="宋体" w:hAnsi="宋体"/>
          <w:color w:val="auto"/>
          <w:sz w:val="24"/>
          <w:szCs w:val="24"/>
          <w:lang w:val="zh-CN"/>
        </w:rPr>
        <w:t>2023年度一般公共预算财政拨款支出174.65万元,较上年决算数减少4.36万元,下降2.44%。主要原因是</w:t>
      </w:r>
      <w:r>
        <w:rPr>
          <w:rFonts w:hint="eastAsia" w:ascii="宋体" w:hAnsi="宋体"/>
          <w:color w:val="auto"/>
          <w:sz w:val="24"/>
          <w:szCs w:val="24"/>
          <w:lang w:val="en-US" w:eastAsia="zh-CN"/>
        </w:rPr>
        <w:t>地方病项目减少</w:t>
      </w:r>
      <w:r>
        <w:rPr>
          <w:rFonts w:hint="eastAsia" w:ascii="宋体" w:hAnsi="宋体"/>
          <w:color w:val="auto"/>
          <w:sz w:val="24"/>
          <w:szCs w:val="24"/>
          <w:lang w:val="zh-CN"/>
        </w:rPr>
        <w:t>。</w:t>
      </w:r>
      <w:r>
        <w:rPr>
          <w:rFonts w:hint="eastAsia" w:ascii="宋体" w:hAnsi="宋体"/>
          <w:color w:val="FF0000"/>
          <w:sz w:val="24"/>
          <w:szCs w:val="24"/>
          <w:lang w:val="en-US" w:eastAsia="zh-CN"/>
        </w:rPr>
        <w:tab/>
      </w:r>
    </w:p>
    <w:p w14:paraId="64555A18">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2385E32D">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174.65万元，主要用于以下方面：社会保障和就业支出5.09万元,占2.91%；卫生健康支出169.56万元,占97.09%。</w:t>
      </w:r>
    </w:p>
    <w:p w14:paraId="0BCB009D">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4574C078">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148.82万元,支出决算为174.65万元,完成年初预算的117.36%。其中：</w:t>
      </w:r>
    </w:p>
    <w:p w14:paraId="37409038">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年初预算数为16.74万元,支出决算为5.09万元,完成年初预算的30.4%,决算数小于预算数的主要原因是</w:t>
      </w:r>
      <w:r>
        <w:rPr>
          <w:rFonts w:hint="eastAsia" w:ascii="宋体" w:hAnsi="宋体"/>
          <w:color w:val="auto"/>
          <w:sz w:val="24"/>
          <w:szCs w:val="24"/>
          <w:lang w:val="en-US" w:eastAsia="zh-CN"/>
        </w:rPr>
        <w:t>本年度办公经费缩减</w:t>
      </w:r>
      <w:r>
        <w:rPr>
          <w:rFonts w:hint="eastAsia" w:ascii="宋体" w:hAnsi="宋体"/>
          <w:color w:val="auto"/>
          <w:sz w:val="24"/>
          <w:szCs w:val="24"/>
          <w:lang w:val="zh-CN"/>
        </w:rPr>
        <w:t>。</w:t>
      </w:r>
    </w:p>
    <w:p w14:paraId="049103E1">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年初预算数为132.08万元,支出决算为169.56万元,完成年初预算的128.38%,决算数大于预算数的主要原因是</w:t>
      </w:r>
      <w:r>
        <w:rPr>
          <w:rFonts w:hint="eastAsia" w:ascii="宋体" w:hAnsi="宋体"/>
          <w:color w:val="auto"/>
          <w:sz w:val="24"/>
          <w:szCs w:val="24"/>
          <w:lang w:val="en-US" w:eastAsia="zh-CN"/>
        </w:rPr>
        <w:t>增加了省级项目工作</w:t>
      </w:r>
      <w:r>
        <w:rPr>
          <w:rFonts w:hint="eastAsia" w:ascii="宋体" w:hAnsi="宋体"/>
          <w:color w:val="auto"/>
          <w:sz w:val="24"/>
          <w:szCs w:val="24"/>
          <w:lang w:val="zh-CN"/>
        </w:rPr>
        <w:t>。</w:t>
      </w:r>
    </w:p>
    <w:p w14:paraId="4824140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0104117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2023年度一般公共预算财政拨款基本支出94.90万元。其中：</w:t>
      </w:r>
    </w:p>
    <w:p w14:paraId="5A924ABC">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87.58万元,较上年决算数减少27.47万元,下降23.87%,主要原因是</w:t>
      </w:r>
      <w:r>
        <w:rPr>
          <w:rFonts w:hint="eastAsia" w:ascii="宋体" w:hAnsi="宋体"/>
          <w:color w:val="auto"/>
          <w:sz w:val="24"/>
          <w:szCs w:val="24"/>
          <w:lang w:val="en-US" w:eastAsia="zh-CN"/>
        </w:rPr>
        <w:t>社会保险缴费减少</w:t>
      </w:r>
      <w:r>
        <w:rPr>
          <w:rFonts w:hint="eastAsia" w:ascii="宋体" w:hAnsi="宋体"/>
          <w:color w:val="auto"/>
          <w:sz w:val="24"/>
          <w:szCs w:val="24"/>
          <w:lang w:val="zh-CN"/>
        </w:rPr>
        <w:t>。</w:t>
      </w:r>
      <w:r>
        <w:rPr>
          <w:rFonts w:hint="eastAsia" w:ascii="宋体" w:hAnsi="宋体"/>
          <w:color w:val="auto"/>
          <w:sz w:val="24"/>
          <w:szCs w:val="24"/>
          <w:lang w:val="zh-CN"/>
        </w:rPr>
        <w:t>人员经费用途主要包括基本工资、津贴补贴、奖金、社会保障缴费</w:t>
      </w:r>
      <w:r>
        <w:rPr>
          <w:rFonts w:hint="eastAsia" w:ascii="宋体" w:hAnsi="宋体"/>
          <w:color w:val="auto"/>
          <w:sz w:val="24"/>
          <w:szCs w:val="24"/>
          <w:lang w:val="en-US" w:eastAsia="zh-CN"/>
        </w:rPr>
        <w:t>等</w:t>
      </w:r>
      <w:r>
        <w:rPr>
          <w:rFonts w:hint="eastAsia" w:ascii="宋体" w:hAnsi="宋体"/>
          <w:color w:val="auto"/>
          <w:sz w:val="24"/>
          <w:szCs w:val="24"/>
          <w:lang w:val="zh-CN"/>
        </w:rPr>
        <w:t>。</w:t>
      </w:r>
    </w:p>
    <w:p w14:paraId="407B99E4">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7.31万元,较上年决算数减少56.65万元,下降88.57%,主要原因是</w:t>
      </w:r>
      <w:r>
        <w:rPr>
          <w:rFonts w:hint="eastAsia" w:ascii="宋体" w:hAnsi="宋体"/>
          <w:color w:val="auto"/>
          <w:sz w:val="24"/>
          <w:szCs w:val="24"/>
          <w:lang w:val="en-US" w:eastAsia="zh-CN"/>
        </w:rPr>
        <w:t>本年度办公经费缩减</w:t>
      </w:r>
      <w:r>
        <w:rPr>
          <w:rFonts w:hint="eastAsia" w:ascii="宋体" w:hAnsi="宋体"/>
          <w:color w:val="auto"/>
          <w:sz w:val="24"/>
          <w:szCs w:val="24"/>
          <w:lang w:val="zh-CN"/>
        </w:rPr>
        <w:t>。公用经费用途主要包括办公费、印刷费、咨询费、手续费</w:t>
      </w:r>
      <w:r>
        <w:rPr>
          <w:rFonts w:hint="eastAsia" w:ascii="宋体" w:hAnsi="宋体"/>
          <w:color w:val="auto"/>
          <w:sz w:val="24"/>
          <w:szCs w:val="24"/>
          <w:lang w:val="en-US" w:eastAsia="zh-CN"/>
        </w:rPr>
        <w:t>等</w:t>
      </w:r>
      <w:r>
        <w:rPr>
          <w:rFonts w:hint="eastAsia" w:ascii="宋体" w:hAnsi="宋体"/>
          <w:color w:val="auto"/>
          <w:sz w:val="24"/>
          <w:szCs w:val="24"/>
          <w:lang w:val="zh-CN"/>
        </w:rPr>
        <w:t>。</w:t>
      </w:r>
    </w:p>
    <w:p w14:paraId="6AD92B1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28ABD71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本单位2023年度无政府性基金收入,也没有使用政府性基金安排的支出。</w:t>
      </w:r>
    </w:p>
    <w:p w14:paraId="6825654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25A4F35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本单位2023年度没有使用国有资本经营预算安排的支出。</w:t>
      </w:r>
    </w:p>
    <w:p w14:paraId="347BD06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0EFF692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我单位属于</w:t>
      </w:r>
      <w:r>
        <w:rPr>
          <w:rFonts w:hint="eastAsia" w:ascii="宋体" w:hAnsi="宋体"/>
          <w:color w:val="auto"/>
          <w:sz w:val="24"/>
          <w:szCs w:val="24"/>
          <w:lang w:val="en-US" w:eastAsia="zh-CN"/>
        </w:rPr>
        <w:t>二级事业单位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default" w:ascii="宋体" w:hAnsi="宋体"/>
          <w:color w:val="auto"/>
          <w:sz w:val="24"/>
          <w:szCs w:val="24"/>
          <w:lang w:val="zh-CN"/>
        </w:rPr>
        <w:t>”</w:t>
      </w:r>
    </w:p>
    <w:p w14:paraId="32396BA3">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672F00B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w:t>
      </w:r>
      <w:r>
        <w:rPr>
          <w:rFonts w:hint="eastAsia" w:ascii="宋体" w:hAnsi="宋体"/>
          <w:color w:val="auto"/>
          <w:sz w:val="24"/>
          <w:szCs w:val="24"/>
          <w:lang w:val="en-US" w:eastAsia="zh-CN"/>
        </w:rPr>
        <w:t>无变化</w:t>
      </w:r>
      <w:r>
        <w:rPr>
          <w:rFonts w:hint="eastAsia" w:ascii="宋体" w:hAnsi="宋体"/>
          <w:color w:val="auto"/>
          <w:sz w:val="24"/>
          <w:szCs w:val="24"/>
          <w:lang w:val="zh-CN"/>
        </w:rPr>
        <w:t>。</w:t>
      </w:r>
    </w:p>
    <w:p w14:paraId="68CB9778">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6A179B2E">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w:t>
      </w:r>
      <w:r>
        <w:rPr>
          <w:rFonts w:hint="eastAsia" w:ascii="宋体" w:hAnsi="宋体"/>
          <w:color w:val="auto"/>
          <w:sz w:val="24"/>
          <w:szCs w:val="24"/>
          <w:lang w:val="en-US" w:eastAsia="zh-CN"/>
        </w:rPr>
        <w:t>无变化</w:t>
      </w:r>
      <w:r>
        <w:rPr>
          <w:rFonts w:hint="eastAsia" w:ascii="宋体" w:hAnsi="宋体"/>
          <w:color w:val="auto"/>
          <w:sz w:val="24"/>
          <w:szCs w:val="24"/>
          <w:lang w:val="zh-CN"/>
        </w:rPr>
        <w:t>。</w:t>
      </w:r>
    </w:p>
    <w:p w14:paraId="6BBBEB95">
      <w:pPr>
        <w:spacing w:before="100" w:beforeLines="0" w:after="100" w:afterLines="0"/>
        <w:jc w:val="left"/>
        <w:rPr>
          <w:rFonts w:hint="eastAsia" w:ascii="宋体" w:hAnsi="宋体"/>
          <w:color w:val="auto"/>
          <w:sz w:val="24"/>
          <w:szCs w:val="24"/>
          <w:lang w:val="en-US" w:eastAsia="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w:t>
      </w:r>
      <w:r>
        <w:rPr>
          <w:rFonts w:hint="eastAsia" w:ascii="宋体" w:hAnsi="宋体"/>
          <w:color w:val="auto"/>
          <w:sz w:val="24"/>
          <w:szCs w:val="24"/>
          <w:lang w:val="en-US" w:eastAsia="zh-CN"/>
        </w:rPr>
        <w:t>无变化。</w:t>
      </w:r>
    </w:p>
    <w:p w14:paraId="0D4B7CDB">
      <w:pPr>
        <w:spacing w:before="100" w:beforeLines="0" w:after="100" w:afterLines="0"/>
        <w:jc w:val="left"/>
        <w:rPr>
          <w:rFonts w:hint="eastAsia" w:ascii="宋体" w:hAnsi="宋体" w:eastAsia="宋体"/>
          <w:color w:val="auto"/>
          <w:sz w:val="24"/>
          <w:szCs w:val="24"/>
          <w:lang w:val="zh-CN" w:eastAsia="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w:t>
      </w:r>
      <w:r>
        <w:rPr>
          <w:rFonts w:hint="eastAsia" w:ascii="宋体" w:hAnsi="宋体"/>
          <w:color w:val="auto"/>
          <w:sz w:val="24"/>
          <w:szCs w:val="24"/>
          <w:lang w:val="en-US" w:eastAsia="zh-CN"/>
        </w:rPr>
        <w:t>无变化。</w:t>
      </w:r>
    </w:p>
    <w:p w14:paraId="4DB59BBC">
      <w:pPr>
        <w:spacing w:before="100" w:beforeLines="0" w:after="100" w:afterLines="0"/>
        <w:jc w:val="left"/>
        <w:rPr>
          <w:rFonts w:hint="eastAsia" w:ascii="宋体" w:hAnsi="宋体" w:eastAsia="宋体"/>
          <w:color w:val="auto"/>
          <w:sz w:val="24"/>
          <w:szCs w:val="24"/>
          <w:lang w:val="zh-CN" w:eastAsia="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w:t>
      </w:r>
      <w:r>
        <w:rPr>
          <w:rFonts w:hint="eastAsia" w:ascii="宋体" w:hAnsi="宋体"/>
          <w:color w:val="auto"/>
          <w:sz w:val="24"/>
          <w:szCs w:val="24"/>
          <w:lang w:val="en-US" w:eastAsia="zh-CN"/>
        </w:rPr>
        <w:t>无变化。</w:t>
      </w:r>
    </w:p>
    <w:p w14:paraId="05B30231">
      <w:pPr>
        <w:numPr>
          <w:ilvl w:val="0"/>
          <w:numId w:val="3"/>
        </w:num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auto"/>
          <w:sz w:val="24"/>
          <w:szCs w:val="24"/>
          <w:lang w:val="en-US"/>
        </w:rPr>
        <w:t>较上年</w:t>
      </w:r>
      <w:r>
        <w:rPr>
          <w:rFonts w:hint="eastAsia" w:ascii="宋体" w:hAnsi="宋体"/>
          <w:color w:val="auto"/>
          <w:sz w:val="24"/>
          <w:szCs w:val="24"/>
          <w:lang w:val="en-US" w:eastAsia="zh-CN"/>
        </w:rPr>
        <w:t>无变化。</w:t>
      </w:r>
    </w:p>
    <w:p w14:paraId="172E1FC5">
      <w:pPr>
        <w:numPr>
          <w:ilvl w:val="0"/>
          <w:numId w:val="0"/>
        </w:numPr>
        <w:spacing w:before="100" w:beforeLines="0" w:after="100" w:afterLines="0"/>
        <w:jc w:val="left"/>
        <w:rPr>
          <w:rFonts w:hint="eastAsia" w:ascii="宋体" w:hAnsi="宋体"/>
          <w:color w:val="FF0000"/>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p>
    <w:p w14:paraId="6502C051">
      <w:pPr>
        <w:numPr>
          <w:ilvl w:val="0"/>
          <w:numId w:val="0"/>
        </w:numPr>
        <w:spacing w:before="100" w:beforeLines="0" w:after="100" w:afterLines="0"/>
        <w:jc w:val="left"/>
        <w:rPr>
          <w:rFonts w:hint="default" w:ascii="宋体" w:hAnsi="宋体"/>
          <w:color w:val="FF0000"/>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14:paraId="1D47AF05">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7950BD8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2023年度本单位</w:t>
      </w:r>
      <w:r>
        <w:rPr>
          <w:rFonts w:hint="eastAsia" w:ascii="宋体" w:hAnsi="宋体"/>
          <w:b/>
          <w:color w:val="auto"/>
          <w:sz w:val="24"/>
          <w:szCs w:val="24"/>
          <w:lang w:val="zh-CN"/>
        </w:rPr>
        <w:t>因公出国(境)</w:t>
      </w:r>
      <w:r>
        <w:rPr>
          <w:rFonts w:hint="eastAsia" w:ascii="宋体" w:hAnsi="宋体"/>
          <w:color w:val="auto"/>
          <w:sz w:val="24"/>
          <w:szCs w:val="24"/>
          <w:lang w:val="zh-CN"/>
        </w:rPr>
        <w:t>共计个</w:t>
      </w:r>
      <w:r>
        <w:rPr>
          <w:rFonts w:hint="eastAsia" w:ascii="宋体" w:hAnsi="宋体"/>
          <w:color w:val="auto"/>
          <w:sz w:val="24"/>
          <w:szCs w:val="24"/>
          <w:lang w:val="en-US" w:eastAsia="zh-CN"/>
        </w:rPr>
        <w:t>0</w:t>
      </w:r>
      <w:r>
        <w:rPr>
          <w:rFonts w:hint="eastAsia" w:ascii="宋体" w:hAnsi="宋体"/>
          <w:color w:val="auto"/>
          <w:sz w:val="24"/>
          <w:szCs w:val="24"/>
          <w:lang w:val="zh-CN"/>
        </w:rPr>
        <w:t>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5736D66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58D0C05F">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本单位机关运行经费支出7.31万元,机关运行经费主要用于开支开支办公费、公务车运行维护费、信息网络购置更新费、办公用房水电费、取暖费、物业费、会议费、公车运行维护费、设备购置及政府购买服务等其他费用。机关运行经费较上年决算数减少56.65万元,下降88.57%,主要原因是本年度办公经费缩减。</w:t>
      </w:r>
    </w:p>
    <w:p w14:paraId="4373B42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01AA0C2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我单位2023年度无政府采购相关经费。</w:t>
      </w:r>
    </w:p>
    <w:p w14:paraId="462DEDE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08CE987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单位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0024FCE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622237E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643EC25E">
      <w:pPr>
        <w:spacing w:before="100" w:beforeLines="0" w:after="100" w:afterLines="0"/>
        <w:jc w:val="left"/>
        <w:rPr>
          <w:rFonts w:hint="eastAsia" w:ascii="宋体" w:hAnsi="宋体"/>
          <w:color w:val="FF0000"/>
          <w:sz w:val="24"/>
          <w:szCs w:val="24"/>
          <w:lang w:val="zh-CN"/>
        </w:rPr>
      </w:pPr>
    </w:p>
    <w:p w14:paraId="4AC7C640">
      <w:pPr>
        <w:spacing w:before="100" w:beforeLines="0" w:after="100" w:afterLines="0"/>
        <w:jc w:val="left"/>
        <w:rPr>
          <w:rFonts w:hint="eastAsia" w:ascii="宋体" w:hAnsi="宋体"/>
          <w:color w:val="auto"/>
          <w:sz w:val="24"/>
          <w:szCs w:val="24"/>
          <w:lang w:val="zh-CN"/>
        </w:rPr>
      </w:pPr>
    </w:p>
    <w:p w14:paraId="6FDA5613">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643D2C1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48964E0D">
      <w:pPr>
        <w:keepNext/>
        <w:keepLines/>
        <w:suppressLineNumbers/>
        <w:spacing w:beforeLines="0" w:afterLines="0"/>
        <w:ind w:firstLine="480" w:firstLineChars="200"/>
        <w:jc w:val="both"/>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根据预算绩效管理要求,</w:t>
      </w:r>
      <w:r>
        <w:rPr>
          <w:rFonts w:hint="eastAsia" w:ascii="宋体" w:hAnsi="宋体" w:cs="宋体"/>
          <w:color w:val="000000"/>
          <w:kern w:val="0"/>
          <w:sz w:val="24"/>
          <w:szCs w:val="24"/>
          <w:lang w:val="en-US" w:eastAsia="zh-CN"/>
        </w:rPr>
        <w:t>本单位</w:t>
      </w:r>
      <w:r>
        <w:rPr>
          <w:rFonts w:hint="eastAsia" w:ascii="宋体" w:hAnsi="宋体" w:eastAsia="宋体" w:cs="宋体"/>
          <w:color w:val="000000"/>
          <w:kern w:val="0"/>
          <w:sz w:val="24"/>
          <w:szCs w:val="24"/>
          <w:lang w:val="en-US"/>
        </w:rPr>
        <w:t>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w:t>
      </w:r>
      <w:r>
        <w:rPr>
          <w:rFonts w:hint="eastAsia" w:ascii="宋体" w:hAnsi="宋体" w:cs="宋体"/>
          <w:color w:val="000000"/>
          <w:kern w:val="0"/>
          <w:sz w:val="24"/>
          <w:szCs w:val="24"/>
          <w:lang w:val="en-US" w:eastAsia="zh-CN"/>
        </w:rPr>
        <w:t>整体</w:t>
      </w:r>
      <w:r>
        <w:rPr>
          <w:rFonts w:hint="eastAsia" w:ascii="宋体" w:hAnsi="宋体" w:eastAsia="宋体" w:cs="宋体"/>
          <w:color w:val="000000"/>
          <w:kern w:val="0"/>
          <w:sz w:val="24"/>
          <w:szCs w:val="24"/>
          <w:lang w:val="en-US"/>
        </w:rPr>
        <w:t>支出全面开展绩效自评,其中涉及资金</w:t>
      </w:r>
      <w:r>
        <w:rPr>
          <w:rFonts w:hint="eastAsia" w:ascii="宋体" w:hAnsi="宋体" w:cs="宋体"/>
          <w:color w:val="000000"/>
          <w:kern w:val="0"/>
          <w:sz w:val="24"/>
          <w:szCs w:val="24"/>
          <w:lang w:val="en-US" w:eastAsia="zh-CN"/>
        </w:rPr>
        <w:t>174.65</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,占一般公共预算项目支出总额的</w:t>
      </w:r>
      <w:r>
        <w:rPr>
          <w:rFonts w:hint="eastAsia" w:ascii="宋体" w:hAnsi="宋体" w:eastAsia="宋体" w:cs="宋体"/>
          <w:color w:val="000000"/>
          <w:kern w:val="0"/>
          <w:sz w:val="24"/>
          <w:szCs w:val="24"/>
          <w:lang w:val="en-US" w:eastAsia="zh-CN"/>
        </w:rPr>
        <w:t>100.00</w:t>
      </w:r>
      <w:r>
        <w:rPr>
          <w:rFonts w:hint="eastAsia" w:ascii="宋体" w:hAnsi="宋体" w:eastAsia="宋体" w:cs="宋体"/>
          <w:color w:val="000000"/>
          <w:kern w:val="0"/>
          <w:sz w:val="24"/>
          <w:szCs w:val="24"/>
          <w:lang w:val="en-US"/>
        </w:rPr>
        <w:t>%。。从评价情况来看,</w:t>
      </w:r>
      <w:r>
        <w:rPr>
          <w:rFonts w:hint="eastAsia" w:ascii="宋体" w:hAnsi="宋体" w:eastAsia="宋体" w:cs="宋体"/>
          <w:color w:val="000000"/>
          <w:kern w:val="0"/>
          <w:sz w:val="24"/>
          <w:szCs w:val="24"/>
          <w:lang w:val="en-US" w:eastAsia="zh-CN"/>
        </w:rPr>
        <w:t>卫生院资金管理规范，</w:t>
      </w:r>
      <w:r>
        <w:rPr>
          <w:rFonts w:hint="eastAsia" w:ascii="宋体" w:hAnsi="宋体" w:eastAsia="宋体" w:cs="宋体"/>
          <w:color w:val="000000"/>
          <w:kern w:val="0"/>
          <w:sz w:val="24"/>
          <w:szCs w:val="24"/>
          <w:lang w:val="en-US"/>
        </w:rPr>
        <w:t>牢固树立预算绩效理念，强化支出责任，提高资金使用效益</w:t>
      </w:r>
      <w:r>
        <w:rPr>
          <w:rFonts w:hint="eastAsia" w:ascii="宋体" w:hAnsi="宋体" w:eastAsia="宋体" w:cs="宋体"/>
          <w:color w:val="000000"/>
          <w:kern w:val="0"/>
          <w:sz w:val="24"/>
          <w:szCs w:val="24"/>
          <w:lang w:val="en-US" w:eastAsia="zh-CN"/>
        </w:rPr>
        <w:t>，</w:t>
      </w:r>
      <w:r>
        <w:rPr>
          <w:rFonts w:hint="eastAsia" w:ascii="宋体" w:hAnsi="宋体" w:eastAsia="宋体" w:cs="宋体"/>
          <w:color w:val="000000"/>
          <w:kern w:val="0"/>
          <w:sz w:val="24"/>
          <w:szCs w:val="24"/>
          <w:lang w:val="en-US"/>
        </w:rPr>
        <w:t>自评结果为“优”。</w:t>
      </w:r>
    </w:p>
    <w:p w14:paraId="7F4CAB3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684D6098">
      <w:pPr>
        <w:keepNext/>
        <w:keepLines/>
        <w:suppressLineNumbers/>
        <w:spacing w:beforeLines="0" w:afterLines="0"/>
        <w:ind w:firstLine="360" w:firstLineChars="150"/>
        <w:jc w:val="both"/>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年度部门决算中反映</w:t>
      </w:r>
      <w:r>
        <w:rPr>
          <w:rFonts w:hint="eastAsia" w:ascii="宋体" w:hAnsi="宋体" w:cs="宋体"/>
          <w:color w:val="000000"/>
          <w:kern w:val="0"/>
          <w:sz w:val="24"/>
          <w:szCs w:val="24"/>
          <w:highlight w:val="none"/>
          <w:lang w:val="en-US" w:eastAsia="zh-CN"/>
        </w:rPr>
        <w:t>整体支</w:t>
      </w:r>
      <w:r>
        <w:rPr>
          <w:rFonts w:hint="eastAsia" w:ascii="宋体" w:hAnsi="宋体" w:eastAsia="宋体" w:cs="宋体"/>
          <w:color w:val="000000"/>
          <w:kern w:val="0"/>
          <w:sz w:val="24"/>
          <w:szCs w:val="24"/>
          <w:highlight w:val="none"/>
          <w:lang w:val="en-US"/>
        </w:rPr>
        <w:t>绩效自评结果。</w:t>
      </w:r>
    </w:p>
    <w:p w14:paraId="085DBF50">
      <w:pPr>
        <w:keepNext/>
        <w:keepLines/>
        <w:suppressLineNumbers/>
        <w:spacing w:beforeLines="0" w:afterLines="0"/>
        <w:jc w:val="both"/>
        <w:rPr>
          <w:rFonts w:hint="eastAsia" w:ascii="宋体" w:hAnsi="宋体" w:eastAsia="宋体" w:cs="宋体"/>
          <w:color w:val="FF0000"/>
          <w:kern w:val="0"/>
          <w:sz w:val="24"/>
          <w:szCs w:val="24"/>
          <w:lang w:val="en-US" w:eastAsia="zh-CN"/>
        </w:rPr>
      </w:pPr>
      <w:r>
        <w:rPr>
          <w:rFonts w:hint="eastAsia" w:ascii="宋体" w:hAnsi="宋体" w:cs="宋体"/>
          <w:color w:val="000000"/>
          <w:kern w:val="0"/>
          <w:sz w:val="24"/>
          <w:szCs w:val="24"/>
          <w:highlight w:val="none"/>
          <w:lang w:val="en-US" w:eastAsia="zh-CN"/>
        </w:rPr>
        <w:t>整体支</w:t>
      </w:r>
      <w:r>
        <w:rPr>
          <w:rFonts w:hint="eastAsia" w:ascii="宋体" w:hAnsi="宋体" w:eastAsia="宋体" w:cs="宋体"/>
          <w:color w:val="000000"/>
          <w:kern w:val="0"/>
          <w:sz w:val="24"/>
          <w:szCs w:val="24"/>
          <w:highlight w:val="none"/>
          <w:lang w:val="en-US"/>
        </w:rPr>
        <w:t>绩效</w:t>
      </w:r>
      <w:r>
        <w:rPr>
          <w:rFonts w:hint="eastAsia" w:ascii="宋体" w:hAnsi="宋体" w:eastAsia="宋体" w:cs="宋体"/>
          <w:color w:val="000000"/>
          <w:kern w:val="0"/>
          <w:sz w:val="24"/>
          <w:szCs w:val="24"/>
          <w:lang w:val="en-US"/>
        </w:rPr>
        <w:t>绩效自评情况：根据年初设定的绩效目标,项目绩效自评得分为</w:t>
      </w:r>
      <w:r>
        <w:rPr>
          <w:rFonts w:hint="eastAsia" w:ascii="宋体" w:hAnsi="宋体" w:cs="宋体"/>
          <w:color w:val="000000"/>
          <w:kern w:val="0"/>
          <w:sz w:val="24"/>
          <w:szCs w:val="24"/>
          <w:lang w:val="en-US" w:eastAsia="zh-CN"/>
        </w:rPr>
        <w:t>98</w:t>
      </w:r>
      <w:r>
        <w:rPr>
          <w:rFonts w:hint="eastAsia" w:ascii="宋体" w:hAnsi="宋体" w:eastAsia="宋体" w:cs="宋体"/>
          <w:color w:val="000000"/>
          <w:kern w:val="0"/>
          <w:sz w:val="24"/>
          <w:szCs w:val="24"/>
          <w:lang w:val="en-US"/>
        </w:rPr>
        <w:t>分。项目全年预算数为</w:t>
      </w:r>
      <w:r>
        <w:rPr>
          <w:rFonts w:hint="eastAsia" w:ascii="宋体" w:hAnsi="宋体" w:cs="宋体"/>
          <w:color w:val="000000"/>
          <w:kern w:val="0"/>
          <w:sz w:val="24"/>
          <w:szCs w:val="24"/>
          <w:lang w:val="en-US" w:eastAsia="zh-CN"/>
        </w:rPr>
        <w:t>174.65</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,执行数为</w:t>
      </w:r>
      <w:r>
        <w:rPr>
          <w:rFonts w:hint="eastAsia" w:ascii="宋体" w:hAnsi="宋体" w:cs="宋体"/>
          <w:color w:val="000000"/>
          <w:kern w:val="0"/>
          <w:sz w:val="24"/>
          <w:szCs w:val="24"/>
          <w:lang w:val="en-US" w:eastAsia="zh-CN"/>
        </w:rPr>
        <w:t>174.65</w:t>
      </w:r>
      <w:r>
        <w:rPr>
          <w:rFonts w:hint="eastAsia" w:ascii="宋体" w:hAnsi="宋体" w:eastAsia="宋体" w:cs="宋体"/>
          <w:color w:val="000000"/>
          <w:kern w:val="0"/>
          <w:sz w:val="24"/>
          <w:szCs w:val="24"/>
          <w:lang w:val="en-US" w:eastAsia="zh-CN"/>
        </w:rPr>
        <w:t>万元,完成预算的100.00%。项目绩效目标完成情况：一是合理安排支出；二是保障单位工作正常运转。发现的主要问题及原因：一是预算绩效管理经验需要进一步积累。因为预算绩效管理工作具有政策性强、专业性强、涉及面广、操作难度大等特点，经验不足，导致工作多走许多弯路，影响工作效果。二是本单位严重缺乏专业财务人员，对财政相关规定和业务不够熟练。下一步改进措施</w:t>
      </w:r>
      <w:r>
        <w:rPr>
          <w:rFonts w:hint="eastAsia" w:ascii="宋体" w:hAnsi="宋体" w:eastAsia="宋体" w:cs="宋体"/>
          <w:color w:val="000000"/>
          <w:kern w:val="0"/>
          <w:sz w:val="24"/>
          <w:szCs w:val="24"/>
          <w:lang w:val="en-US"/>
        </w:rPr>
        <w:t>：</w:t>
      </w:r>
      <w:r>
        <w:rPr>
          <w:rFonts w:hint="eastAsia" w:ascii="宋体" w:hAnsi="宋体" w:eastAsia="宋体" w:cs="宋体"/>
          <w:color w:val="000000"/>
          <w:kern w:val="0"/>
          <w:sz w:val="24"/>
          <w:szCs w:val="24"/>
          <w:lang w:val="en-US" w:eastAsia="zh-CN"/>
        </w:rPr>
        <w:t>一是建立健全财政各项资金管理制度，严格执行财务管理制度，做到了财务处理及时，会计核算规范，严格按照计划进度支付。二是对财务人员定期进行培训，提高财务人员的业务能力。</w:t>
      </w:r>
    </w:p>
    <w:p w14:paraId="4F37F10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5874DE0D">
      <w:pPr>
        <w:spacing w:before="100" w:beforeLines="0" w:after="100" w:afterLines="0"/>
        <w:jc w:val="both"/>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en-US" w:eastAsia="zh-CN"/>
        </w:rPr>
        <w:t>无</w:t>
      </w:r>
    </w:p>
    <w:p w14:paraId="75DF2BCE">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09D3912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63180F1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2E235EE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6242C39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2F475090">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5B6473B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63D1B8F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7CBF6E6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230E33E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13C9901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340A2BA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32CEED2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A06FFA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5471267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747F6D0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w:t>
      </w:r>
      <w:r>
        <w:rPr>
          <w:rFonts w:hint="eastAsia" w:ascii="宋体" w:hAnsi="宋体" w:cs="宋体"/>
          <w:color w:val="auto"/>
          <w:sz w:val="24"/>
          <w:szCs w:val="24"/>
          <w:lang w:val="zh-CN"/>
        </w:rPr>
        <w:t>本单位</w:t>
      </w:r>
      <w:r>
        <w:rPr>
          <w:rFonts w:hint="eastAsia" w:ascii="宋体" w:hAnsi="宋体" w:eastAsia="宋体" w:cs="宋体"/>
          <w:color w:val="auto"/>
          <w:sz w:val="24"/>
          <w:szCs w:val="24"/>
          <w:lang w:val="zh-CN"/>
        </w:rPr>
        <w:t>所有涉及到的项级支出功能科目进行说明，注意不要重复，并调整段落序号）</w:t>
      </w:r>
    </w:p>
    <w:p w14:paraId="3967B94B">
      <w:pPr>
        <w:spacing w:before="100" w:beforeLines="0" w:after="100" w:afterLines="0"/>
        <w:ind w:firstLine="480" w:firstLineChars="20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w:t>
      </w:r>
    </w:p>
    <w:p w14:paraId="4AE7EDEE">
      <w:pPr>
        <w:spacing w:before="100" w:beforeLines="0" w:after="100" w:afterLines="0"/>
        <w:jc w:val="both"/>
        <w:rPr>
          <w:rFonts w:hint="eastAsia" w:ascii="宋体" w:hAnsi="宋体" w:eastAsia="宋体" w:cs="宋体"/>
          <w:color w:val="FF0000"/>
          <w:sz w:val="24"/>
          <w:szCs w:val="24"/>
          <w:lang w:val="zh-CN"/>
        </w:rPr>
      </w:pPr>
      <w:r>
        <w:rPr>
          <w:rFonts w:hint="eastAsia" w:ascii="宋体" w:hAnsi="宋体" w:eastAsia="宋体" w:cs="宋体"/>
          <w:color w:val="FF0000"/>
          <w:sz w:val="24"/>
          <w:szCs w:val="24"/>
          <w:lang w:val="zh-CN"/>
        </w:rPr>
        <w:t>（请部门（单位）对涉及到专业名词进行补充解释，注意不要重复，并调整段落序号）</w:t>
      </w:r>
    </w:p>
    <w:p w14:paraId="37160DD7">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NTEwMGJjNzU4ZjU5NWJmMTMzZGUwMGZjZDhjMzMifQ=="/>
  </w:docVars>
  <w:rsids>
    <w:rsidRoot w:val="00000000"/>
    <w:rsid w:val="280A722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dfd6d5fd-5c21-44b6-9749-24da0e4bdc23}">
  <ds:schemaRefs/>
</ds:datastoreItem>
</file>

<file path=customXml/itemProps2.xml><?xml version="1.0" encoding="utf-8"?>
<ds:datastoreItem xmlns:ds="http://schemas.openxmlformats.org/officeDocument/2006/customXml" ds:itemID="{a141199f-2e14-43b1-9fdc-4162d1ebed50}">
  <ds:schemaRefs/>
</ds:datastoreItem>
</file>

<file path=customXml/itemProps3.xml><?xml version="1.0" encoding="utf-8"?>
<ds:datastoreItem xmlns:ds="http://schemas.openxmlformats.org/officeDocument/2006/customXml" ds:itemID="{9cb647b7-4b76-4a0b-8669-0c76902006e7}">
  <ds:schemaRefs/>
</ds:datastoreItem>
</file>

<file path=customXml/itemProps4.xml><?xml version="1.0" encoding="utf-8"?>
<ds:datastoreItem xmlns:ds="http://schemas.openxmlformats.org/officeDocument/2006/customXml" ds:itemID="{b91d789d-1d7a-4ec4-944d-ed67322df5f2}">
  <ds:schemaRefs/>
</ds:datastoreItem>
</file>

<file path=customXml/itemProps5.xml><?xml version="1.0" encoding="utf-8"?>
<ds:datastoreItem xmlns:ds="http://schemas.openxmlformats.org/officeDocument/2006/customXml" ds:itemID="{c7366c97-0fec-4937-adc4-c1fc626a9cfb}">
  <ds:schemaRefs/>
</ds:datastoreItem>
</file>

<file path=customXml/itemProps6.xml><?xml version="1.0" encoding="utf-8"?>
<ds:datastoreItem xmlns:ds="http://schemas.openxmlformats.org/officeDocument/2006/customXml" ds:itemID="{b87f7475-215e-4cfb-b6fe-8a01830c6130}">
  <ds:schemaRefs/>
</ds:datastoreItem>
</file>

<file path=customXml/itemProps7.xml><?xml version="1.0" encoding="utf-8"?>
<ds:datastoreItem xmlns:ds="http://schemas.openxmlformats.org/officeDocument/2006/customXml" ds:itemID="{a4ff690b-bde6-4935-b4a6-d95302438b91}">
  <ds:schemaRefs/>
</ds:datastoreItem>
</file>

<file path=customXml/itemProps8.xml><?xml version="1.0" encoding="utf-8"?>
<ds:datastoreItem xmlns:ds="http://schemas.openxmlformats.org/officeDocument/2006/customXml" ds:itemID="{42cc0ced-192a-43f2-be8d-74b20c27a56e}">
  <ds:schemaRefs/>
</ds:datastoreItem>
</file>

<file path=customXml/itemProps9.xml><?xml version="1.0" encoding="utf-8"?>
<ds:datastoreItem xmlns:ds="http://schemas.openxmlformats.org/officeDocument/2006/customXml" ds:itemID="{9c070e25-77cb-4e69-a601-aeb5bf111154}">
  <ds:schemaRefs/>
</ds:datastoreItem>
</file>

<file path=docProps/app.xml><?xml version="1.0" encoding="utf-8"?>
<Properties xmlns="http://schemas.openxmlformats.org/officeDocument/2006/extended-properties" xmlns:vt="http://schemas.openxmlformats.org/officeDocument/2006/docPropsVTypes">
  <Template>Normal.dotm</Template>
  <Pages>8</Pages>
  <Words>7287</Words>
  <Characters>8440</Characters>
  <Lines>0</Lines>
  <Paragraphs>0</Paragraphs>
  <TotalTime>5</TotalTime>
  <ScaleCrop>false</ScaleCrop>
  <LinksUpToDate>false</LinksUpToDate>
  <CharactersWithSpaces>8444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花落丶听雨丿孤</cp:lastModifiedBy>
  <dcterms:modified xsi:type="dcterms:W3CDTF">2024-09-24T09:22:24Z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