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color w:val="auto"/>
          <w:sz w:val="24"/>
          <w:szCs w:val="24"/>
          <w:lang w:val="zh-CN"/>
        </w:rPr>
        <w:t>2023年度</w:t>
      </w:r>
    </w:p>
    <w:p>
      <w:pPr>
        <w:spacing w:before="100" w:beforeLines="0" w:after="100" w:afterLines="0"/>
        <w:jc w:val="center"/>
        <w:rPr>
          <w:rFonts w:hint="eastAsia" w:ascii="宋体" w:hAnsi="宋体"/>
          <w:color w:val="auto"/>
          <w:sz w:val="24"/>
          <w:szCs w:val="24"/>
          <w:lang w:val="zh-CN"/>
        </w:rPr>
      </w:pPr>
      <w:r>
        <w:rPr>
          <w:rFonts w:hint="eastAsia" w:ascii="宋体" w:hAnsi="宋体"/>
          <w:color w:val="auto"/>
          <w:sz w:val="24"/>
          <w:szCs w:val="24"/>
          <w:lang w:val="zh-CN"/>
        </w:rPr>
        <w:t>华池县山庄乡人民政府部门决算</w:t>
      </w: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目录</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第一部分部门概况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一、部门职责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六、一般公共预算财政拨款基本支出决算情况说明</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八、国有资本经营预算财政拨款支出情况说明</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经费支出决算情况说明</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十、机关运行经费支出情况说明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十二、国有资产占用情况说明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第四部分预算绩效情况说明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第五部分名词解释</w:t>
      </w: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第一部分部门概况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一、部门职责</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山庄乡</w:t>
      </w:r>
      <w:r>
        <w:rPr>
          <w:rFonts w:hint="eastAsia" w:ascii="宋体" w:hAnsi="宋体" w:eastAsia="宋体" w:cstheme="minorBidi"/>
          <w:color w:val="auto"/>
          <w:kern w:val="2"/>
          <w:sz w:val="24"/>
          <w:szCs w:val="24"/>
          <w:lang w:val="zh-CN"/>
        </w:rPr>
        <w:t>人民政府是基层国家行政机关，依法履行本区域的服务和管理职权。主要职责是：</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（一）执行本级人民代表大会的决议和上级国家行政机关的决定和命令，发布决定和命令；</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（二）执行本行政区域内的经济和社会发展计划、预算，管理本行政区域内的经济、教育、科学、文化、卫生、体育事业和财政、民政、公安、司法行政、计划生育等行政工作；</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（三）保护社会主义的全民所有的财产和劳动群众集体所有的财产，保护公民私人所有的合法财产，维护社会秩序，保障公民的人身权利、民主权利和其他权利；</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（四）保护各种经济组织的合法权益；</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（五）保障少数民族的权利和尊重少数民族的风俗习惯；</w:t>
      </w:r>
    </w:p>
    <w:p>
      <w:pPr>
        <w:spacing w:before="100" w:beforeLines="0" w:after="100" w:afterLines="0"/>
        <w:ind w:firstLine="480" w:firstLineChars="20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（六）保障宪法和法律赋予妇女的男女平等、同工同酬和婚姻自由等各项权利；</w:t>
      </w:r>
    </w:p>
    <w:p>
      <w:pPr>
        <w:spacing w:before="100" w:beforeLines="0" w:after="100" w:afterLines="0"/>
        <w:ind w:firstLine="480" w:firstLineChars="200"/>
        <w:jc w:val="left"/>
        <w:rPr>
          <w:rFonts w:hint="default"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（七）办理上级人民政府交办的其他事项</w:t>
      </w:r>
      <w:r>
        <w:rPr>
          <w:rFonts w:hint="default" w:ascii="宋体" w:hAnsi="宋体" w:eastAsia="宋体" w:cstheme="minorBidi"/>
          <w:color w:val="auto"/>
          <w:kern w:val="2"/>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pStyle w:val="2"/>
        <w:shd w:val="clear" w:color="auto" w:fill="FFFFFF"/>
        <w:spacing w:before="0" w:beforeAutospacing="0" w:after="0" w:afterAutospacing="0" w:line="560" w:lineRule="exact"/>
        <w:ind w:firstLine="480" w:firstLineChars="200"/>
        <w:rPr>
          <w:rFonts w:hint="default" w:ascii="宋体" w:hAnsi="宋体" w:eastAsia="宋体" w:cstheme="minorBidi"/>
          <w:color w:val="auto"/>
          <w:kern w:val="2"/>
          <w:sz w:val="24"/>
          <w:szCs w:val="24"/>
          <w:lang w:val="zh-CN"/>
        </w:rPr>
      </w:pPr>
      <w:r>
        <w:rPr>
          <w:rFonts w:hint="eastAsia" w:cstheme="minorBidi"/>
          <w:color w:val="auto"/>
          <w:kern w:val="2"/>
          <w:sz w:val="24"/>
          <w:szCs w:val="24"/>
          <w:lang w:val="en-US" w:eastAsia="zh-CN"/>
        </w:rPr>
        <w:t>山庄乡</w:t>
      </w:r>
      <w:r>
        <w:rPr>
          <w:rFonts w:hint="default" w:ascii="宋体" w:hAnsi="宋体" w:eastAsia="宋体" w:cstheme="minorBidi"/>
          <w:color w:val="auto"/>
          <w:kern w:val="2"/>
          <w:sz w:val="24"/>
          <w:szCs w:val="24"/>
          <w:lang w:val="zh-CN"/>
        </w:rPr>
        <w:t>人民政府内设机构4个股室（</w:t>
      </w:r>
      <w:r>
        <w:rPr>
          <w:rFonts w:hint="eastAsia" w:ascii="宋体" w:hAnsi="宋体" w:eastAsia="宋体" w:cstheme="minorBidi"/>
          <w:color w:val="auto"/>
          <w:kern w:val="2"/>
          <w:sz w:val="24"/>
          <w:szCs w:val="24"/>
          <w:lang w:val="en-US" w:eastAsia="zh-CN"/>
        </w:rPr>
        <w:t>分别为党政综合办公室、党建工作办公室、经济发展和社会事务办公室、社会治理和应急管理办公室）。</w:t>
      </w:r>
      <w:r>
        <w:rPr>
          <w:rFonts w:hint="default" w:ascii="宋体" w:hAnsi="宋体" w:eastAsia="宋体" w:cstheme="minorBidi"/>
          <w:color w:val="auto"/>
          <w:kern w:val="2"/>
          <w:sz w:val="24"/>
          <w:szCs w:val="24"/>
          <w:lang w:val="zh-CN"/>
        </w:rPr>
        <w:t>　　</w:t>
      </w:r>
    </w:p>
    <w:p>
      <w:pPr>
        <w:spacing w:before="100" w:beforeLines="0" w:after="100" w:afterLines="0"/>
        <w:ind w:firstLine="480" w:firstLineChars="200"/>
        <w:jc w:val="left"/>
        <w:rPr>
          <w:rFonts w:hint="eastAsia" w:ascii="宋体" w:hAnsi="宋体" w:eastAsia="宋体" w:cstheme="minorBidi"/>
          <w:color w:val="auto"/>
          <w:kern w:val="2"/>
          <w:sz w:val="24"/>
          <w:szCs w:val="24"/>
          <w:lang w:val="en-US" w:eastAsia="zh-CN"/>
        </w:rPr>
      </w:pPr>
      <w:r>
        <w:rPr>
          <w:rFonts w:hint="default" w:ascii="宋体" w:hAnsi="宋体" w:eastAsia="宋体" w:cstheme="minorBidi"/>
          <w:color w:val="auto"/>
          <w:kern w:val="2"/>
          <w:sz w:val="24"/>
          <w:szCs w:val="24"/>
          <w:lang w:val="zh-CN"/>
        </w:rPr>
        <w:t>并设置</w:t>
      </w:r>
      <w:r>
        <w:rPr>
          <w:rFonts w:hint="eastAsia" w:ascii="宋体" w:hAnsi="宋体" w:eastAsia="宋体" w:cstheme="minorBidi"/>
          <w:color w:val="auto"/>
          <w:kern w:val="2"/>
          <w:sz w:val="24"/>
          <w:szCs w:val="24"/>
          <w:lang w:val="en-US" w:eastAsia="zh-CN"/>
        </w:rPr>
        <w:t>5</w:t>
      </w:r>
      <w:r>
        <w:rPr>
          <w:rFonts w:hint="eastAsia" w:ascii="宋体" w:hAnsi="宋体" w:eastAsia="宋体" w:cstheme="minorBidi"/>
          <w:color w:val="auto"/>
          <w:kern w:val="2"/>
          <w:sz w:val="24"/>
          <w:szCs w:val="24"/>
          <w:lang w:val="zh-CN"/>
        </w:rPr>
        <w:t>个事业</w:t>
      </w:r>
      <w:r>
        <w:rPr>
          <w:rFonts w:hint="eastAsia" w:ascii="宋体" w:hAnsi="宋体" w:eastAsia="宋体" w:cstheme="minorBidi"/>
          <w:color w:val="auto"/>
          <w:kern w:val="2"/>
          <w:sz w:val="24"/>
          <w:szCs w:val="24"/>
          <w:lang w:val="en-US" w:eastAsia="zh-CN"/>
        </w:rPr>
        <w:t>中心</w:t>
      </w:r>
      <w:r>
        <w:rPr>
          <w:rFonts w:hint="eastAsia" w:ascii="宋体" w:hAnsi="宋体" w:eastAsia="宋体" w:cstheme="minorBidi"/>
          <w:color w:val="auto"/>
          <w:kern w:val="2"/>
          <w:sz w:val="24"/>
          <w:szCs w:val="24"/>
          <w:lang w:val="zh-CN"/>
        </w:rPr>
        <w:t>机构，分别为：</w:t>
      </w:r>
      <w:r>
        <w:rPr>
          <w:rFonts w:hint="eastAsia" w:ascii="宋体" w:hAnsi="宋体" w:eastAsia="宋体" w:cstheme="minorBidi"/>
          <w:color w:val="auto"/>
          <w:kern w:val="2"/>
          <w:sz w:val="24"/>
          <w:szCs w:val="24"/>
          <w:lang w:val="en-US" w:eastAsia="zh-CN"/>
        </w:rPr>
        <w:t>农村综合服务</w:t>
      </w:r>
      <w:r>
        <w:rPr>
          <w:rFonts w:hint="eastAsia" w:ascii="宋体" w:hAnsi="宋体" w:eastAsia="宋体" w:cstheme="minorBidi"/>
          <w:color w:val="auto"/>
          <w:kern w:val="2"/>
          <w:sz w:val="24"/>
          <w:szCs w:val="24"/>
          <w:lang w:val="zh-CN"/>
        </w:rPr>
        <w:t>中心、</w:t>
      </w:r>
      <w:r>
        <w:rPr>
          <w:rFonts w:hint="eastAsia" w:ascii="宋体" w:hAnsi="宋体" w:eastAsia="宋体" w:cstheme="minorBidi"/>
          <w:color w:val="auto"/>
          <w:kern w:val="2"/>
          <w:sz w:val="24"/>
          <w:szCs w:val="24"/>
          <w:lang w:val="en-US" w:eastAsia="zh-CN"/>
        </w:rPr>
        <w:t>政务便民服务中心</w:t>
      </w:r>
      <w:r>
        <w:rPr>
          <w:rFonts w:hint="eastAsia" w:ascii="宋体" w:hAnsi="宋体" w:eastAsia="宋体" w:cstheme="minorBidi"/>
          <w:color w:val="auto"/>
          <w:kern w:val="2"/>
          <w:sz w:val="24"/>
          <w:szCs w:val="24"/>
          <w:lang w:val="zh-CN"/>
        </w:rPr>
        <w:t>、</w:t>
      </w:r>
      <w:r>
        <w:rPr>
          <w:rFonts w:hint="eastAsia" w:ascii="宋体" w:hAnsi="宋体" w:eastAsia="宋体" w:cstheme="minorBidi"/>
          <w:color w:val="auto"/>
          <w:kern w:val="2"/>
          <w:sz w:val="24"/>
          <w:szCs w:val="24"/>
          <w:lang w:val="en-US" w:eastAsia="zh-CN"/>
        </w:rPr>
        <w:t>公共</w:t>
      </w:r>
      <w:r>
        <w:rPr>
          <w:rFonts w:hint="eastAsia" w:ascii="宋体" w:hAnsi="宋体" w:eastAsia="宋体" w:cstheme="minorBidi"/>
          <w:color w:val="auto"/>
          <w:kern w:val="2"/>
          <w:sz w:val="24"/>
          <w:szCs w:val="24"/>
          <w:lang w:val="zh-CN"/>
        </w:rPr>
        <w:t>事务服务中心、</w:t>
      </w:r>
      <w:r>
        <w:rPr>
          <w:rFonts w:hint="eastAsia" w:ascii="宋体" w:hAnsi="宋体" w:eastAsia="宋体" w:cstheme="minorBidi"/>
          <w:color w:val="auto"/>
          <w:kern w:val="2"/>
          <w:sz w:val="24"/>
          <w:szCs w:val="24"/>
          <w:lang w:val="en-US" w:eastAsia="zh-CN"/>
        </w:rPr>
        <w:t>社会治安综合治理</w:t>
      </w:r>
      <w:r>
        <w:rPr>
          <w:rFonts w:hint="eastAsia" w:ascii="宋体" w:hAnsi="宋体" w:eastAsia="宋体" w:cstheme="minorBidi"/>
          <w:color w:val="auto"/>
          <w:kern w:val="2"/>
          <w:sz w:val="24"/>
          <w:szCs w:val="24"/>
          <w:lang w:val="zh-CN"/>
        </w:rPr>
        <w:t>中心、</w:t>
      </w:r>
      <w:r>
        <w:rPr>
          <w:rFonts w:hint="eastAsia" w:ascii="宋体" w:hAnsi="宋体" w:eastAsia="宋体" w:cstheme="minorBidi"/>
          <w:color w:val="auto"/>
          <w:kern w:val="2"/>
          <w:sz w:val="24"/>
          <w:szCs w:val="24"/>
          <w:lang w:val="en-US" w:eastAsia="zh-CN"/>
        </w:rPr>
        <w:t>综合行政执法队。</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855.05万元。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减少183.35万元,下降17.66%,主要原因是</w:t>
      </w:r>
      <w:r>
        <w:rPr>
          <w:rFonts w:hint="eastAsia" w:ascii="宋体" w:hAnsi="宋体"/>
          <w:color w:val="auto"/>
          <w:sz w:val="24"/>
          <w:szCs w:val="24"/>
          <w:lang w:val="en-US" w:eastAsia="zh-CN"/>
        </w:rPr>
        <w:t>项目资金减少</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2023年度收入合计855.05万元,其中：财政拨款收入855.05万元,占100.00%；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2023年度支出合计855.05万元,其中：基本支出734.08万元,占85.85%；项目支出120.97万元,占14.15%；</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855.05万元。与</w:t>
      </w:r>
      <w:r>
        <w:rPr>
          <w:rFonts w:hint="eastAsia" w:ascii="宋体" w:hAnsi="宋体"/>
          <w:color w:val="auto"/>
          <w:sz w:val="24"/>
          <w:szCs w:val="24"/>
          <w:lang w:val="en-US"/>
        </w:rPr>
        <w:t>上</w:t>
      </w:r>
      <w:r>
        <w:rPr>
          <w:rFonts w:hint="eastAsia" w:ascii="宋体" w:hAnsi="宋体"/>
          <w:color w:val="auto"/>
          <w:sz w:val="24"/>
          <w:szCs w:val="24"/>
          <w:lang w:val="zh-CN"/>
        </w:rPr>
        <w:t>年相比,各减少183.35万元,下降17.66%。主要原因是</w:t>
      </w:r>
      <w:r>
        <w:rPr>
          <w:rFonts w:hint="eastAsia" w:ascii="宋体" w:hAnsi="宋体"/>
          <w:color w:val="auto"/>
          <w:sz w:val="24"/>
          <w:szCs w:val="24"/>
          <w:lang w:val="en-US" w:eastAsia="zh-CN"/>
        </w:rPr>
        <w:t>项目资金减少。</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2023年度一般公共预算财政拨款支出855.05万元,较上年决算数减少106.45万元,下降11.07%。主要原因是</w:t>
      </w:r>
      <w:r>
        <w:rPr>
          <w:rFonts w:hint="eastAsia" w:ascii="宋体" w:hAnsi="宋体"/>
          <w:color w:val="auto"/>
          <w:sz w:val="24"/>
          <w:szCs w:val="24"/>
          <w:lang w:val="en-US" w:eastAsia="zh-CN"/>
        </w:rPr>
        <w:t>项目资金减少。</w:t>
      </w:r>
    </w:p>
    <w:p>
      <w:pPr>
        <w:numPr>
          <w:ilvl w:val="0"/>
          <w:numId w:val="1"/>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855.05万元，主要用于以下方面：一般公共服务支出73.59万元,占8.61%；公共安全支出6.40万元,占0.75%；社会保障和就业支出59.62万元,占6.97%；卫生健康支出33.30万元,占3.89%；节能环保支出40.00万元</w:t>
      </w:r>
      <w:r>
        <w:rPr>
          <w:rFonts w:hint="eastAsia" w:ascii="宋体" w:hAnsi="宋体"/>
          <w:color w:val="auto"/>
          <w:sz w:val="24"/>
          <w:szCs w:val="24"/>
          <w:lang w:val="en-US" w:eastAsia="zh-CN"/>
        </w:rPr>
        <w:t>,</w:t>
      </w:r>
      <w:r>
        <w:rPr>
          <w:rFonts w:hint="eastAsia" w:ascii="宋体" w:hAnsi="宋体"/>
          <w:color w:val="auto"/>
          <w:sz w:val="24"/>
          <w:szCs w:val="24"/>
          <w:lang w:val="zh-CN"/>
        </w:rPr>
        <w:t>占4.68%；农林水支出642.14万元,占75.1%；</w:t>
      </w:r>
    </w:p>
    <w:p>
      <w:pPr>
        <w:numPr>
          <w:ilvl w:val="0"/>
          <w:numId w:val="1"/>
        </w:numPr>
        <w:spacing w:before="100" w:beforeLines="0" w:after="100" w:afterLines="0"/>
        <w:ind w:left="0" w:leftChars="0" w:firstLine="0" w:firstLineChar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710.27万元,支出决算为855.05万元,完成年初预算的120.38%。其中：</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年初预算数为0.00万元,支出决算为73.59万元,完成年初预算的%,决算数大于预算数的主要原因是</w:t>
      </w:r>
      <w:r>
        <w:rPr>
          <w:rFonts w:hint="eastAsia" w:ascii="宋体" w:hAnsi="宋体"/>
          <w:color w:val="auto"/>
          <w:sz w:val="24"/>
          <w:szCs w:val="24"/>
          <w:lang w:val="en-US" w:eastAsia="zh-CN"/>
        </w:rPr>
        <w:t>年初预算在县直部门</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年初预算数为0.00万元,支出决算为6.40万元,完成年初预算的%,决算数大于预算数的主要原因是</w:t>
      </w:r>
      <w:r>
        <w:rPr>
          <w:rFonts w:hint="eastAsia" w:ascii="宋体" w:hAnsi="宋体"/>
          <w:color w:val="auto"/>
          <w:sz w:val="24"/>
          <w:szCs w:val="24"/>
          <w:lang w:val="en-US" w:eastAsia="zh-CN"/>
        </w:rPr>
        <w:t>年初预算在县直部门</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年初预算数为84.38万元,支出决算为59.62万元,完成年初预算的70.66%,决算数小于预算数的主要原因是</w:t>
      </w:r>
      <w:r>
        <w:rPr>
          <w:rFonts w:hint="eastAsia" w:ascii="宋体" w:hAnsi="宋体"/>
          <w:color w:val="auto"/>
          <w:sz w:val="24"/>
          <w:szCs w:val="24"/>
          <w:lang w:val="en-US" w:eastAsia="zh-CN"/>
        </w:rPr>
        <w:t>人员工资福利变动</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4</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年初预算数为29.07万元,支出决算为33.30万元,完成年初预算的114.54%,决算数大于预算数的主要原因是</w:t>
      </w:r>
      <w:r>
        <w:rPr>
          <w:rFonts w:hint="eastAsia" w:ascii="宋体" w:hAnsi="宋体"/>
          <w:color w:val="auto"/>
          <w:sz w:val="24"/>
          <w:szCs w:val="24"/>
          <w:lang w:val="en-US" w:eastAsia="zh-CN"/>
        </w:rPr>
        <w:t>人员工资福利变动</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5</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年初预算数为0.00万元,支出决算为40.00万元,完成年初预算的%,决算数大于预算数的主要原因是</w:t>
      </w:r>
      <w:r>
        <w:rPr>
          <w:rFonts w:hint="eastAsia" w:ascii="宋体" w:hAnsi="宋体"/>
          <w:color w:val="auto"/>
          <w:sz w:val="24"/>
          <w:szCs w:val="24"/>
          <w:lang w:val="en-US" w:eastAsia="zh-CN"/>
        </w:rPr>
        <w:t>年初预算在县直部门</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6</w:t>
      </w:r>
      <w:r>
        <w:rPr>
          <w:rFonts w:hint="eastAsia" w:ascii="Times New Roman" w:hAnsi="Times New Roman" w:eastAsia="宋体"/>
          <w:b/>
          <w:color w:val="auto"/>
          <w:sz w:val="24"/>
          <w:szCs w:val="24"/>
          <w:lang w:val="en-US" w:eastAsia="zh-CN"/>
        </w:rPr>
        <w:t>.</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年初预算数为596.82万元,支出决算为642.14万元,完成年初预算的107.59%,决算数大于预算数的主要原因是</w:t>
      </w:r>
      <w:r>
        <w:rPr>
          <w:rFonts w:hint="eastAsia" w:ascii="宋体" w:hAnsi="宋体"/>
          <w:color w:val="auto"/>
          <w:sz w:val="24"/>
          <w:szCs w:val="24"/>
          <w:lang w:val="en-US" w:eastAsia="zh-CN"/>
        </w:rPr>
        <w:t>预算资金调整</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2023年度一般公共预算财政拨款基本支出734.08万元。其中：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671.38万元,较上年决算数减少10.61万元,下降1.56%,主要原因是</w:t>
      </w:r>
      <w:r>
        <w:rPr>
          <w:rFonts w:hint="eastAsia" w:ascii="宋体" w:hAnsi="宋体"/>
          <w:color w:val="auto"/>
          <w:sz w:val="24"/>
          <w:szCs w:val="24"/>
          <w:lang w:val="en-US" w:eastAsia="zh-CN"/>
        </w:rPr>
        <w:t>人员变动</w:t>
      </w:r>
      <w:r>
        <w:rPr>
          <w:rFonts w:hint="eastAsia" w:ascii="宋体" w:hAnsi="宋体"/>
          <w:color w:val="auto"/>
          <w:sz w:val="24"/>
          <w:szCs w:val="24"/>
          <w:lang w:val="zh-CN"/>
        </w:rPr>
        <w:t>。人员经费用途主要包括</w:t>
      </w:r>
      <w:r>
        <w:rPr>
          <w:rFonts w:hint="default" w:ascii="宋体" w:hAnsi="宋体"/>
          <w:color w:val="auto"/>
          <w:sz w:val="24"/>
          <w:szCs w:val="24"/>
          <w:lang w:val="zh-CN"/>
        </w:rPr>
        <w:t>“</w:t>
      </w:r>
      <w:r>
        <w:rPr>
          <w:rFonts w:hint="eastAsia" w:ascii="宋体" w:hAnsi="宋体"/>
          <w:color w:val="auto"/>
          <w:sz w:val="24"/>
          <w:szCs w:val="24"/>
          <w:lang w:val="zh-CN"/>
        </w:rPr>
        <w:t>基本工资</w:t>
      </w:r>
      <w:r>
        <w:rPr>
          <w:rFonts w:hint="eastAsia" w:ascii="宋体" w:hAnsi="宋体"/>
          <w:color w:val="auto"/>
          <w:sz w:val="24"/>
          <w:szCs w:val="24"/>
          <w:lang w:val="en-US" w:eastAsia="zh-CN"/>
        </w:rPr>
        <w:t>195万元</w:t>
      </w:r>
      <w:r>
        <w:rPr>
          <w:rFonts w:hint="eastAsia" w:ascii="宋体" w:hAnsi="宋体"/>
          <w:color w:val="auto"/>
          <w:sz w:val="24"/>
          <w:szCs w:val="24"/>
          <w:lang w:val="zh-CN"/>
        </w:rPr>
        <w:t>、津贴补贴</w:t>
      </w:r>
      <w:r>
        <w:rPr>
          <w:rFonts w:hint="eastAsia" w:ascii="宋体" w:hAnsi="宋体"/>
          <w:color w:val="auto"/>
          <w:sz w:val="24"/>
          <w:szCs w:val="24"/>
          <w:lang w:val="en-US" w:eastAsia="zh-CN"/>
        </w:rPr>
        <w:t>246万元</w:t>
      </w:r>
      <w:r>
        <w:rPr>
          <w:rFonts w:hint="eastAsia" w:ascii="宋体" w:hAnsi="宋体"/>
          <w:color w:val="auto"/>
          <w:sz w:val="24"/>
          <w:szCs w:val="24"/>
          <w:lang w:val="zh-CN"/>
        </w:rPr>
        <w:t>、奖金</w:t>
      </w:r>
      <w:r>
        <w:rPr>
          <w:rFonts w:hint="eastAsia" w:ascii="宋体" w:hAnsi="宋体"/>
          <w:color w:val="auto"/>
          <w:sz w:val="24"/>
          <w:szCs w:val="24"/>
          <w:lang w:val="en-US" w:eastAsia="zh-CN"/>
        </w:rPr>
        <w:t>130万元</w:t>
      </w:r>
      <w:r>
        <w:rPr>
          <w:rFonts w:hint="eastAsia" w:ascii="宋体" w:hAnsi="宋体"/>
          <w:color w:val="auto"/>
          <w:sz w:val="24"/>
          <w:szCs w:val="24"/>
          <w:lang w:val="zh-CN"/>
        </w:rPr>
        <w:t>、社会保障缴费</w:t>
      </w:r>
      <w:r>
        <w:rPr>
          <w:rFonts w:hint="eastAsia" w:ascii="宋体" w:hAnsi="宋体"/>
          <w:color w:val="auto"/>
          <w:sz w:val="24"/>
          <w:szCs w:val="24"/>
          <w:lang w:val="en-US" w:eastAsia="zh-CN"/>
        </w:rPr>
        <w:t>92万元，对家庭和个人补助8.38万元</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62.70万元,较上年决算数减少216.81万元,下降77.57%,主要原因是</w:t>
      </w:r>
      <w:r>
        <w:rPr>
          <w:rFonts w:hint="eastAsia" w:ascii="宋体" w:hAnsi="宋体"/>
          <w:color w:val="auto"/>
          <w:sz w:val="24"/>
          <w:szCs w:val="24"/>
          <w:lang w:val="en-US" w:eastAsia="zh-CN"/>
        </w:rPr>
        <w:t>决算编制与上年口径有误差</w:t>
      </w:r>
      <w:r>
        <w:rPr>
          <w:rFonts w:hint="eastAsia" w:ascii="宋体" w:hAnsi="宋体"/>
          <w:color w:val="auto"/>
          <w:sz w:val="24"/>
          <w:szCs w:val="24"/>
          <w:lang w:val="zh-CN"/>
        </w:rPr>
        <w:t>。公用经费用途</w:t>
      </w:r>
      <w:r>
        <w:rPr>
          <w:rFonts w:hint="default" w:ascii="宋体" w:hAnsi="宋体"/>
          <w:color w:val="auto"/>
          <w:sz w:val="24"/>
          <w:szCs w:val="24"/>
          <w:lang w:val="zh-CN"/>
        </w:rPr>
        <w:t>“</w:t>
      </w:r>
      <w:r>
        <w:rPr>
          <w:rFonts w:hint="eastAsia" w:ascii="宋体" w:hAnsi="宋体"/>
          <w:color w:val="auto"/>
          <w:sz w:val="24"/>
          <w:szCs w:val="24"/>
          <w:lang w:val="zh-CN"/>
        </w:rPr>
        <w:t>办公费</w:t>
      </w:r>
      <w:r>
        <w:rPr>
          <w:rFonts w:hint="eastAsia" w:ascii="宋体" w:hAnsi="宋体"/>
          <w:color w:val="auto"/>
          <w:sz w:val="24"/>
          <w:szCs w:val="24"/>
          <w:lang w:val="en-US" w:eastAsia="zh-CN"/>
        </w:rPr>
        <w:t>18.98万元</w:t>
      </w:r>
      <w:r>
        <w:rPr>
          <w:rFonts w:hint="eastAsia" w:ascii="宋体" w:hAnsi="宋体"/>
          <w:color w:val="auto"/>
          <w:sz w:val="24"/>
          <w:szCs w:val="24"/>
          <w:lang w:val="zh-CN"/>
        </w:rPr>
        <w:t>、</w:t>
      </w:r>
      <w:r>
        <w:rPr>
          <w:rFonts w:hint="eastAsia" w:ascii="宋体" w:hAnsi="宋体"/>
          <w:color w:val="auto"/>
          <w:sz w:val="24"/>
          <w:szCs w:val="24"/>
          <w:lang w:val="en-US" w:eastAsia="zh-CN"/>
        </w:rPr>
        <w:t>水电费4.9万元、差旅费4.9万元、取暖费2.6万元、公务接待费0.4万元、邮电费2.5万元、劳务费8万元、工会经费1.44万元、福利费1.71万元、公务用车维护费4.96万元、其他交通费12.69万元、其他商品服务支出3.7万元</w:t>
      </w:r>
      <w:r>
        <w:rPr>
          <w:rFonts w:hint="default" w:ascii="宋体" w:hAnsi="宋体"/>
          <w:color w:val="auto"/>
          <w:sz w:val="24"/>
          <w:szCs w:val="24"/>
          <w:lang w:val="zh-CN"/>
        </w:rPr>
        <w:t>”</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default" w:ascii="宋体" w:hAnsi="宋体"/>
          <w:color w:val="auto"/>
          <w:sz w:val="24"/>
          <w:szCs w:val="24"/>
          <w:lang w:val="zh-CN"/>
        </w:rPr>
        <w:t>“</w:t>
      </w:r>
      <w:r>
        <w:rPr>
          <w:rFonts w:hint="eastAsia" w:ascii="宋体" w:hAnsi="宋体"/>
          <w:color w:val="auto"/>
          <w:sz w:val="24"/>
          <w:szCs w:val="24"/>
          <w:lang w:val="zh-CN"/>
        </w:rPr>
        <w:t>本部门2023年度无政府性基金收入,也没有使用政府性基金安排的支出。</w:t>
      </w:r>
      <w:r>
        <w:rPr>
          <w:rFonts w:hint="default"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2023年度政府性基金预算财政拨款年初结转和结余0.00万元,本年收入0.00万元,本年支出0.00万元,年末结转和结余0.00</w:t>
      </w:r>
      <w:r>
        <w:rPr>
          <w:rFonts w:hint="eastAsia" w:ascii="宋体" w:hAnsi="宋体"/>
          <w:color w:val="auto"/>
          <w:sz w:val="24"/>
          <w:szCs w:val="24"/>
          <w:lang w:val="en-US" w:eastAsia="zh-CN"/>
        </w:rPr>
        <w:t>万元</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2023年度国有资本经营预算财政拨款本年支出0.00万元。</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预算数为6.00万元,支出决算为5.36万元,决算数小于预算数的主要原因是</w:t>
      </w:r>
      <w:r>
        <w:rPr>
          <w:rFonts w:hint="eastAsia" w:ascii="宋体" w:hAnsi="宋体"/>
          <w:color w:val="auto"/>
          <w:sz w:val="24"/>
          <w:szCs w:val="24"/>
          <w:lang w:val="en-US" w:eastAsia="zh-CN"/>
        </w:rPr>
        <w:t>节约支出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下降0.83</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节约支出</w:t>
      </w:r>
      <w:r>
        <w:rPr>
          <w:rFonts w:hint="eastAsia" w:ascii="宋体" w:hAnsi="宋体"/>
          <w:color w:val="auto"/>
          <w:sz w:val="24"/>
          <w:szCs w:val="24"/>
          <w:lang w:val="zh-CN"/>
        </w:rPr>
        <w:t>。</w:t>
      </w:r>
    </w:p>
    <w:p>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(由部门根据实际情况补充)。</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预算数为5.00万元,支出决算为4.96万元,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下降0.9</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节约支出</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预算数为5.00万元,支出决算为4.96万元,决算数小于预算数的主要原因是</w:t>
      </w:r>
      <w:r>
        <w:rPr>
          <w:rFonts w:hint="eastAsia" w:ascii="宋体" w:hAnsi="宋体"/>
          <w:color w:val="auto"/>
          <w:sz w:val="24"/>
          <w:szCs w:val="24"/>
          <w:lang w:val="en-US" w:eastAsia="zh-CN"/>
        </w:rPr>
        <w:t>节约支出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下降0.9</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节约支出</w:t>
      </w:r>
      <w:r>
        <w:rPr>
          <w:rFonts w:hint="eastAsia" w:ascii="宋体" w:hAnsi="宋体"/>
          <w:color w:val="auto"/>
          <w:sz w:val="24"/>
          <w:szCs w:val="24"/>
          <w:lang w:val="zh-CN"/>
        </w:rPr>
        <w:t>。</w:t>
      </w:r>
    </w:p>
    <w:p>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年预算数为1.00万元,支出决算为0.40万元,决算数小于预算数的主要原因是</w:t>
      </w:r>
      <w:r>
        <w:rPr>
          <w:rFonts w:hint="eastAsia" w:ascii="宋体" w:hAnsi="宋体"/>
          <w:color w:val="auto"/>
          <w:sz w:val="24"/>
          <w:szCs w:val="24"/>
          <w:lang w:val="en-US" w:eastAsia="zh-CN"/>
        </w:rPr>
        <w:t>节约支出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下降0.0</w:t>
      </w:r>
      <w:r>
        <w:rPr>
          <w:rFonts w:hint="eastAsia" w:ascii="宋体" w:hAnsi="宋体"/>
          <w:color w:val="auto"/>
          <w:sz w:val="24"/>
          <w:szCs w:val="24"/>
          <w:lang w:val="zh-CN"/>
        </w:rPr>
        <w:t>%。</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外事接待费支出0.00万元。</w:t>
      </w:r>
    </w:p>
    <w:p>
      <w:pPr>
        <w:numPr>
          <w:ilvl w:val="0"/>
          <w:numId w:val="0"/>
        </w:numPr>
        <w:spacing w:before="100" w:beforeLines="0" w:after="100" w:afterLines="0"/>
        <w:jc w:val="left"/>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0.40万元。</w:t>
      </w:r>
    </w:p>
    <w:p>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共计个团组,人；</w:t>
      </w:r>
      <w:r>
        <w:rPr>
          <w:rFonts w:hint="eastAsia" w:ascii="宋体" w:hAnsi="宋体"/>
          <w:b/>
          <w:color w:val="auto"/>
          <w:sz w:val="24"/>
          <w:szCs w:val="24"/>
          <w:lang w:val="zh-CN"/>
        </w:rPr>
        <w:t>公务用车购置</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为2辆；</w:t>
      </w:r>
      <w:r>
        <w:rPr>
          <w:rFonts w:hint="eastAsia" w:ascii="宋体" w:hAnsi="宋体"/>
          <w:b/>
          <w:color w:val="auto"/>
          <w:sz w:val="24"/>
          <w:szCs w:val="24"/>
          <w:lang w:val="zh-CN"/>
        </w:rPr>
        <w:t>国内公务接待</w:t>
      </w:r>
      <w:r>
        <w:rPr>
          <w:rFonts w:hint="eastAsia" w:ascii="宋体" w:hAnsi="宋体"/>
          <w:color w:val="auto"/>
          <w:sz w:val="24"/>
          <w:szCs w:val="24"/>
          <w:lang w:val="zh-CN"/>
        </w:rPr>
        <w:t>8批次108人,其中：</w:t>
      </w:r>
      <w:r>
        <w:rPr>
          <w:rFonts w:hint="eastAsia" w:ascii="宋体" w:hAnsi="宋体"/>
          <w:b/>
          <w:color w:val="auto"/>
          <w:sz w:val="24"/>
          <w:szCs w:val="24"/>
          <w:lang w:val="zh-CN"/>
        </w:rPr>
        <w:t>外事接待</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2023年度本部门机关运行经费支出62.70万元,机关运行经费主要用于开支</w:t>
      </w:r>
      <w:r>
        <w:rPr>
          <w:rFonts w:hint="default" w:ascii="宋体" w:hAnsi="宋体"/>
          <w:color w:val="auto"/>
          <w:sz w:val="24"/>
          <w:szCs w:val="24"/>
          <w:lang w:val="zh-CN"/>
        </w:rPr>
        <w:t>“</w:t>
      </w:r>
      <w:r>
        <w:rPr>
          <w:rFonts w:hint="eastAsia" w:ascii="宋体" w:hAnsi="宋体"/>
          <w:color w:val="auto"/>
          <w:sz w:val="24"/>
          <w:szCs w:val="24"/>
          <w:lang w:val="zh-CN"/>
        </w:rPr>
        <w:t>办公费</w:t>
      </w:r>
      <w:r>
        <w:rPr>
          <w:rFonts w:hint="eastAsia" w:ascii="宋体" w:hAnsi="宋体"/>
          <w:color w:val="auto"/>
          <w:sz w:val="24"/>
          <w:szCs w:val="24"/>
          <w:lang w:val="en-US" w:eastAsia="zh-CN"/>
        </w:rPr>
        <w:t>18.98万元</w:t>
      </w:r>
      <w:r>
        <w:rPr>
          <w:rFonts w:hint="eastAsia" w:ascii="宋体" w:hAnsi="宋体"/>
          <w:color w:val="auto"/>
          <w:sz w:val="24"/>
          <w:szCs w:val="24"/>
          <w:lang w:val="zh-CN"/>
        </w:rPr>
        <w:t>、</w:t>
      </w:r>
      <w:r>
        <w:rPr>
          <w:rFonts w:hint="eastAsia" w:ascii="宋体" w:hAnsi="宋体"/>
          <w:color w:val="auto"/>
          <w:sz w:val="24"/>
          <w:szCs w:val="24"/>
          <w:lang w:val="en-US" w:eastAsia="zh-CN"/>
        </w:rPr>
        <w:t>水电费4.9万元、差旅费4.9万元、取暖费2.6万元、公务接待费0.4万元、邮电费2.5万元、劳务费8万元、工会经费1.44万元、福利费1.71万元、公务用车维护费4.96万元、其他交通费12.69万元、其他商品服务支出3.7万元</w:t>
      </w:r>
      <w:r>
        <w:rPr>
          <w:rFonts w:hint="default" w:ascii="宋体" w:hAnsi="宋体"/>
          <w:color w:val="auto"/>
          <w:sz w:val="24"/>
          <w:szCs w:val="24"/>
          <w:lang w:val="zh-CN"/>
        </w:rPr>
        <w:t>”</w:t>
      </w:r>
      <w:r>
        <w:rPr>
          <w:rFonts w:hint="eastAsia" w:ascii="宋体" w:hAnsi="宋体"/>
          <w:color w:val="auto"/>
          <w:sz w:val="24"/>
          <w:szCs w:val="24"/>
          <w:lang w:val="zh-CN"/>
        </w:rPr>
        <w:t>。机关运行经费较上年决算数减少221.44万元,下降77.93%,落实过紧日子要求压减</w:t>
      </w:r>
      <w:r>
        <w:rPr>
          <w:rFonts w:hint="eastAsia" w:ascii="宋体" w:hAnsi="宋体"/>
          <w:color w:val="auto"/>
          <w:sz w:val="24"/>
          <w:szCs w:val="24"/>
          <w:lang w:val="en-US" w:eastAsia="zh-CN"/>
        </w:rPr>
        <w:t>公务</w:t>
      </w:r>
      <w:r>
        <w:rPr>
          <w:rFonts w:hint="eastAsia" w:ascii="宋体" w:hAnsi="宋体"/>
          <w:color w:val="auto"/>
          <w:sz w:val="24"/>
          <w:szCs w:val="24"/>
          <w:lang w:val="zh-CN"/>
        </w:rPr>
        <w:t>支出本年度会议费支出0.00万元,较上年决算数减少0.0万元,下降%,本年度培训费支出0.00万元,较上年决算数减少0.0万元,下降%。</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0.00万元,其中：政府采购货物支出0.00万元、政府采购工程支出0.00万元、政府采购服务支出0.00万元。授予中小企业合同金额0.00万元,占政府采购支出总额的%,其中：授予小微企业合同金额0.00万元,占政府采购支出总额的%。</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2辆,其中,副部(省)级及以上领导用车0辆、主要领导干部用车0辆、机要通信用车0辆、应急保障用车0辆、执法执勤用车0辆,特种专业技术用车0辆,离退休干部用车0辆,其他用车2辆,其他用车主要是用于</w:t>
      </w:r>
      <w:r>
        <w:rPr>
          <w:rFonts w:hint="eastAsia" w:ascii="宋体" w:hAnsi="宋体"/>
          <w:color w:val="auto"/>
          <w:sz w:val="24"/>
          <w:szCs w:val="24"/>
          <w:lang w:val="en-US" w:eastAsia="zh-CN"/>
        </w:rPr>
        <w:t>公务用车</w:t>
      </w:r>
      <w:r>
        <w:rPr>
          <w:rFonts w:hint="eastAsia" w:ascii="宋体" w:hAnsi="宋体"/>
          <w:color w:val="auto"/>
          <w:sz w:val="24"/>
          <w:szCs w:val="24"/>
          <w:lang w:val="zh-CN"/>
        </w:rPr>
        <w:t>。单价100万元(含)以上设备0台(套)。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auto"/>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spacing w:beforeLines="0" w:afterLines="0"/>
        <w:ind w:firstLine="480" w:firstLineChars="200"/>
        <w:jc w:val="both"/>
        <w:rPr>
          <w:rFonts w:hint="default" w:ascii="仿宋_GB2312" w:hAnsi="仿宋_GB2312" w:eastAsia="宋体" w:cs="仿宋_GB2312"/>
          <w:color w:val="auto"/>
          <w:sz w:val="32"/>
          <w:szCs w:val="32"/>
          <w:lang w:val="en-US" w:eastAsia="zh-CN"/>
        </w:rPr>
      </w:pPr>
      <w:r>
        <w:rPr>
          <w:rFonts w:hint="eastAsia" w:ascii="宋体" w:hAnsi="宋体" w:eastAsia="宋体" w:cs="宋体"/>
          <w:color w:val="auto"/>
          <w:kern w:val="0"/>
          <w:sz w:val="24"/>
          <w:szCs w:val="24"/>
          <w:lang w:val="en-US"/>
        </w:rPr>
        <w:t>根据预算绩效管理要求,本部门对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w:t>
      </w:r>
      <w:r>
        <w:rPr>
          <w:rFonts w:hint="eastAsia" w:ascii="宋体" w:hAnsi="宋体" w:cs="宋体"/>
          <w:color w:val="auto"/>
          <w:kern w:val="0"/>
          <w:sz w:val="24"/>
          <w:szCs w:val="24"/>
          <w:lang w:val="en-US" w:eastAsia="zh-CN"/>
        </w:rPr>
        <w:t>整体</w:t>
      </w:r>
      <w:r>
        <w:rPr>
          <w:rFonts w:hint="eastAsia" w:ascii="宋体" w:hAnsi="宋体" w:eastAsia="宋体" w:cs="宋体"/>
          <w:color w:val="auto"/>
          <w:kern w:val="0"/>
          <w:sz w:val="24"/>
          <w:szCs w:val="24"/>
          <w:lang w:val="en-US"/>
        </w:rPr>
        <w:t>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个,二级项目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855.05</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%。组织对</w:t>
      </w:r>
      <w:r>
        <w:rPr>
          <w:rFonts w:hint="eastAsia" w:ascii="宋体" w:hAnsi="宋体" w:cs="宋体"/>
          <w:color w:val="auto"/>
          <w:kern w:val="0"/>
          <w:sz w:val="24"/>
          <w:szCs w:val="24"/>
          <w:lang w:val="en-US" w:eastAsia="zh-CN"/>
        </w:rPr>
        <w:t>整体支出</w:t>
      </w:r>
      <w:r>
        <w:rPr>
          <w:rFonts w:hint="eastAsia" w:ascii="宋体" w:hAnsi="宋体" w:eastAsia="宋体" w:cs="宋体"/>
          <w:color w:val="auto"/>
          <w:kern w:val="0"/>
          <w:sz w:val="24"/>
          <w:szCs w:val="24"/>
          <w:lang w:val="en-US"/>
        </w:rPr>
        <w:t>开展了部门评价,涉及一般公共预算支出</w:t>
      </w:r>
      <w:r>
        <w:rPr>
          <w:rFonts w:hint="eastAsia" w:ascii="宋体" w:hAnsi="宋体" w:cs="宋体"/>
          <w:color w:val="auto"/>
          <w:kern w:val="0"/>
          <w:sz w:val="24"/>
          <w:szCs w:val="24"/>
          <w:lang w:val="en-US" w:eastAsia="zh-CN"/>
        </w:rPr>
        <w:t>855.05</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,。从评价情况来看,</w:t>
      </w:r>
      <w:r>
        <w:rPr>
          <w:rFonts w:hint="eastAsia" w:ascii="宋体" w:hAnsi="宋体" w:cs="宋体"/>
          <w:color w:val="auto"/>
          <w:kern w:val="0"/>
          <w:sz w:val="24"/>
          <w:szCs w:val="24"/>
          <w:lang w:val="en-US" w:eastAsia="zh-CN"/>
        </w:rPr>
        <w:t>项目运行较好，基本达到预期目标，完成目标任务。</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360" w:firstLineChars="15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cs="宋体"/>
          <w:color w:val="auto"/>
          <w:kern w:val="0"/>
          <w:sz w:val="24"/>
          <w:szCs w:val="24"/>
          <w:highlight w:val="none"/>
          <w:lang w:val="en-US" w:eastAsia="zh-CN"/>
        </w:rPr>
        <w:t>整体</w:t>
      </w:r>
      <w:r>
        <w:rPr>
          <w:rFonts w:hint="eastAsia" w:ascii="宋体" w:hAnsi="宋体" w:eastAsia="宋体" w:cs="宋体"/>
          <w:color w:val="auto"/>
          <w:kern w:val="0"/>
          <w:sz w:val="24"/>
          <w:szCs w:val="24"/>
          <w:highlight w:val="none"/>
          <w:lang w:val="en-US"/>
        </w:rPr>
        <w:t>等</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rPr>
        <w:t>个绩效自评结果。</w:t>
      </w:r>
    </w:p>
    <w:p>
      <w:pPr>
        <w:keepNext/>
        <w:keepLines/>
        <w:suppressLineNumbers/>
        <w:spacing w:beforeLines="0" w:afterLines="0"/>
        <w:ind w:firstLine="480" w:firstLineChars="200"/>
        <w:jc w:val="both"/>
        <w:rPr>
          <w:rFonts w:hint="eastAsia" w:ascii="宋体" w:hAnsi="宋体" w:eastAsia="宋体" w:cs="宋体"/>
          <w:color w:val="auto"/>
          <w:kern w:val="0"/>
          <w:sz w:val="24"/>
          <w:szCs w:val="24"/>
          <w:lang w:val="en-US"/>
        </w:rPr>
      </w:pPr>
      <w:r>
        <w:rPr>
          <w:rFonts w:hint="eastAsia" w:ascii="宋体" w:hAnsi="宋体" w:cs="宋体"/>
          <w:color w:val="auto"/>
          <w:kern w:val="0"/>
          <w:sz w:val="24"/>
          <w:szCs w:val="24"/>
          <w:lang w:val="en-US" w:eastAsia="zh-CN"/>
        </w:rPr>
        <w:t>整体</w:t>
      </w:r>
      <w:r>
        <w:rPr>
          <w:rFonts w:hint="eastAsia" w:ascii="宋体" w:hAnsi="宋体" w:eastAsia="宋体" w:cs="宋体"/>
          <w:color w:val="auto"/>
          <w:kern w:val="0"/>
          <w:sz w:val="24"/>
          <w:szCs w:val="24"/>
          <w:lang w:val="en-US"/>
        </w:rPr>
        <w:t>绩效自评情况：根据年初设定的绩效目标,绩效自评得分为</w:t>
      </w:r>
      <w:r>
        <w:rPr>
          <w:rFonts w:hint="eastAsia" w:ascii="宋体" w:hAnsi="宋体" w:cs="宋体"/>
          <w:color w:val="auto"/>
          <w:kern w:val="0"/>
          <w:sz w:val="24"/>
          <w:szCs w:val="24"/>
          <w:lang w:val="en-US" w:eastAsia="zh-CN"/>
        </w:rPr>
        <w:t>91</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855.05</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855.05</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%。绩效目标完成情况：一是</w:t>
      </w:r>
      <w:r>
        <w:rPr>
          <w:rFonts w:hint="eastAsia" w:ascii="宋体" w:hAnsi="宋体" w:cs="宋体"/>
          <w:color w:val="auto"/>
          <w:kern w:val="0"/>
          <w:sz w:val="24"/>
          <w:szCs w:val="24"/>
          <w:lang w:val="en-US" w:eastAsia="zh-CN"/>
        </w:rPr>
        <w:t>提升人居环境质量变化</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取得社会经济更好的发展</w:t>
      </w:r>
      <w:r>
        <w:rPr>
          <w:rFonts w:hint="eastAsia" w:ascii="宋体" w:hAnsi="宋体" w:eastAsia="宋体" w:cs="宋体"/>
          <w:color w:val="auto"/>
          <w:kern w:val="0"/>
          <w:sz w:val="24"/>
          <w:szCs w:val="24"/>
          <w:lang w:val="en-US"/>
        </w:rPr>
        <w:t>。发现的主要问题及原因：一是</w:t>
      </w:r>
      <w:r>
        <w:rPr>
          <w:rFonts w:hint="eastAsia" w:ascii="宋体" w:hAnsi="宋体" w:cs="宋体"/>
          <w:color w:val="auto"/>
          <w:kern w:val="0"/>
          <w:sz w:val="24"/>
          <w:szCs w:val="24"/>
          <w:lang w:val="en-US" w:eastAsia="zh-CN"/>
        </w:rPr>
        <w:t>环境卫生质量保持度不够</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社会关注度不高</w:t>
      </w:r>
      <w:r>
        <w:rPr>
          <w:rFonts w:hint="eastAsia" w:ascii="宋体" w:hAnsi="宋体" w:eastAsia="宋体" w:cs="宋体"/>
          <w:color w:val="auto"/>
          <w:kern w:val="0"/>
          <w:sz w:val="24"/>
          <w:szCs w:val="24"/>
          <w:lang w:val="en-US"/>
        </w:rPr>
        <w:t>。下一步改进措施：一是</w:t>
      </w:r>
      <w:r>
        <w:rPr>
          <w:rFonts w:hint="eastAsia" w:ascii="宋体" w:hAnsi="宋体" w:cs="宋体"/>
          <w:color w:val="auto"/>
          <w:kern w:val="0"/>
          <w:sz w:val="24"/>
          <w:szCs w:val="24"/>
          <w:lang w:val="en-US" w:eastAsia="zh-CN"/>
        </w:rPr>
        <w:t>加强人文环境宣传</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提高群众思想意识</w:t>
      </w:r>
      <w:r>
        <w:rPr>
          <w:rFonts w:hint="eastAsia" w:ascii="宋体" w:hAnsi="宋体" w:eastAsia="宋体" w:cs="宋体"/>
          <w:color w:val="auto"/>
          <w:kern w:val="0"/>
          <w:sz w:val="24"/>
          <w:szCs w:val="24"/>
          <w:lang w:val="en-US"/>
        </w:rPr>
        <w:t>。</w:t>
      </w:r>
      <w:bookmarkStart w:id="0" w:name="_GoBack"/>
      <w:bookmarkEnd w:id="0"/>
      <w:r>
        <w:rPr>
          <w:rFonts w:hint="eastAsia" w:ascii="宋体" w:hAnsi="宋体" w:eastAsia="宋体" w:cs="宋体"/>
          <w:color w:val="auto"/>
          <w:kern w:val="0"/>
          <w:sz w:val="24"/>
          <w:szCs w:val="24"/>
          <w:lang w:val="en-US"/>
        </w:rPr>
        <w:t>绩效自评情况：</w:t>
      </w:r>
      <w:r>
        <w:rPr>
          <w:rFonts w:hint="eastAsia" w:ascii="宋体" w:hAnsi="宋体" w:cs="宋体"/>
          <w:color w:val="auto"/>
          <w:kern w:val="0"/>
          <w:sz w:val="24"/>
          <w:szCs w:val="24"/>
          <w:lang w:val="en-US" w:eastAsia="zh-CN"/>
        </w:rPr>
        <w:t>运行较好</w:t>
      </w:r>
      <w:r>
        <w:rPr>
          <w:rFonts w:hint="eastAsia" w:ascii="宋体" w:hAnsi="宋体" w:eastAsia="宋体" w:cs="宋体"/>
          <w:color w:val="auto"/>
          <w:kern w:val="0"/>
          <w:sz w:val="24"/>
          <w:szCs w:val="24"/>
          <w:lang w:val="en-US"/>
        </w:rPr>
        <w:t>。</w:t>
      </w:r>
    </w:p>
    <w:p>
      <w:pPr>
        <w:keepNext/>
        <w:keepLines/>
        <w:suppressLineNumbers/>
        <w:spacing w:beforeLines="0" w:afterLines="0"/>
        <w:jc w:val="both"/>
        <w:rPr>
          <w:rFonts w:hint="eastAsia" w:ascii="宋体" w:hAnsi="宋体" w:eastAsia="宋体" w:cs="宋体"/>
          <w:color w:val="auto"/>
          <w:kern w:val="0"/>
          <w:sz w:val="24"/>
          <w:szCs w:val="24"/>
          <w:lang w:val="en-US" w:eastAsia="zh-CN"/>
        </w:rPr>
      </w:pPr>
    </w:p>
    <w:p>
      <w:pPr>
        <w:numPr>
          <w:ilvl w:val="0"/>
          <w:numId w:val="4"/>
        </w:num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部门绩效评价结果</w:t>
      </w:r>
    </w:p>
    <w:p>
      <w:pPr>
        <w:numPr>
          <w:ilvl w:val="0"/>
          <w:numId w:val="0"/>
        </w:numPr>
        <w:spacing w:before="100" w:beforeLines="0" w:after="100" w:afterLines="0"/>
        <w:jc w:val="left"/>
        <w:rPr>
          <w:rFonts w:hint="default" w:ascii="宋体" w:hAnsi="宋体"/>
          <w:b/>
          <w:bCs/>
          <w:color w:val="auto"/>
          <w:sz w:val="24"/>
          <w:szCs w:val="24"/>
          <w:lang w:val="en-US" w:eastAsia="zh-CN"/>
        </w:rPr>
      </w:pPr>
      <w:r>
        <w:rPr>
          <w:rFonts w:hint="eastAsia" w:ascii="宋体" w:hAnsi="宋体"/>
          <w:b/>
          <w:bCs/>
          <w:color w:val="auto"/>
          <w:sz w:val="24"/>
          <w:szCs w:val="24"/>
          <w:lang w:val="en-US" w:eastAsia="zh-CN"/>
        </w:rPr>
        <w:t xml:space="preserve">    详见附表</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abstractNum w:abstractNumId="3">
    <w:nsid w:val="6ACA208B"/>
    <w:multiLevelType w:val="singleLevel"/>
    <w:tmpl w:val="6ACA208B"/>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zBkM2RiMTkyYmFmNjE3ZWU0MjFmY2QzMWQ3OTYifQ=="/>
  </w:docVars>
  <w:rsids>
    <w:rsidRoot w:val="00000000"/>
    <w:rsid w:val="20B14B30"/>
    <w:rsid w:val="34DC7765"/>
    <w:rsid w:val="4CE0382D"/>
    <w:rsid w:val="5BC079F3"/>
    <w:rsid w:val="6A5B370E"/>
    <w:rsid w:val="765D1E57"/>
    <w:rsid w:val="7B80485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e805c3e1-ecf7-48e9-8493-660049433c1f}">
  <ds:schemaRefs/>
</ds:datastoreItem>
</file>

<file path=customXml/itemProps2.xml><?xml version="1.0" encoding="utf-8"?>
<ds:datastoreItem xmlns:ds="http://schemas.openxmlformats.org/officeDocument/2006/customXml" ds:itemID="{12d8a255-8575-4102-93e6-2724e5c5ec39}">
  <ds:schemaRefs/>
</ds:datastoreItem>
</file>

<file path=customXml/itemProps3.xml><?xml version="1.0" encoding="utf-8"?>
<ds:datastoreItem xmlns:ds="http://schemas.openxmlformats.org/officeDocument/2006/customXml" ds:itemID="{ed83c3af-acd7-40f4-85c6-06393abb1e67}">
  <ds:schemaRefs/>
</ds:datastoreItem>
</file>

<file path=customXml/itemProps4.xml><?xml version="1.0" encoding="utf-8"?>
<ds:datastoreItem xmlns:ds="http://schemas.openxmlformats.org/officeDocument/2006/customXml" ds:itemID="{b6665af0-24cb-4529-9efd-6a79b13f21e0}">
  <ds:schemaRefs/>
</ds:datastoreItem>
</file>

<file path=customXml/itemProps5.xml><?xml version="1.0" encoding="utf-8"?>
<ds:datastoreItem xmlns:ds="http://schemas.openxmlformats.org/officeDocument/2006/customXml" ds:itemID="{c738102d-87dc-41d5-a67f-2dcf3477ae49}">
  <ds:schemaRefs/>
</ds:datastoreItem>
</file>

<file path=customXml/itemProps6.xml><?xml version="1.0" encoding="utf-8"?>
<ds:datastoreItem xmlns:ds="http://schemas.openxmlformats.org/officeDocument/2006/customXml" ds:itemID="{1f9acf64-e448-4a32-8e90-19d43c934d9e}">
  <ds:schemaRefs/>
</ds:datastoreItem>
</file>

<file path=customXml/itemProps7.xml><?xml version="1.0" encoding="utf-8"?>
<ds:datastoreItem xmlns:ds="http://schemas.openxmlformats.org/officeDocument/2006/customXml" ds:itemID="{ccd38eb1-eabf-4617-ad0b-94481bf9ddbb}">
  <ds:schemaRefs/>
</ds:datastoreItem>
</file>

<file path=customXml/itemProps8.xml><?xml version="1.0" encoding="utf-8"?>
<ds:datastoreItem xmlns:ds="http://schemas.openxmlformats.org/officeDocument/2006/customXml" ds:itemID="{62059c4b-35fb-46db-ba14-7565d3b71888}">
  <ds:schemaRefs/>
</ds:datastoreItem>
</file>

<file path=customXml/itemProps9.xml><?xml version="1.0" encoding="utf-8"?>
<ds:datastoreItem xmlns:ds="http://schemas.openxmlformats.org/officeDocument/2006/customXml" ds:itemID="{76a86a04-bf4e-4b29-a723-9b5ddd54c46f}">
  <ds:schemaRefs/>
</ds:datastoreItem>
</file>

<file path=docProps/app.xml><?xml version="1.0" encoding="utf-8"?>
<Properties xmlns="http://schemas.openxmlformats.org/officeDocument/2006/extended-properties" xmlns:vt="http://schemas.openxmlformats.org/officeDocument/2006/docPropsVTypes">
  <Template>Normal.dotm</Template>
  <Pages>8</Pages>
  <Words>4913</Words>
  <Characters>5492</Characters>
  <Lines>0</Lines>
  <Paragraphs>0</Paragraphs>
  <TotalTime>43</TotalTime>
  <ScaleCrop>false</ScaleCrop>
  <LinksUpToDate>false</LinksUpToDate>
  <CharactersWithSpaces>5502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Lenovo</cp:lastModifiedBy>
  <dcterms:modified xsi:type="dcterms:W3CDTF">2024-09-19T04:32:21Z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E06D266F13EA4024808CEEADBAD91186_11</vt:lpwstr>
  </property>
</Properties>
</file>