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9A5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华池县商务局关于促消费稳增长项目的</w:t>
      </w:r>
    </w:p>
    <w:p w14:paraId="1D6CE5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自评报告</w:t>
      </w:r>
    </w:p>
    <w:p w14:paraId="59C0E7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32"/>
          <w:szCs w:val="32"/>
          <w:lang w:val="en-US" w:eastAsia="zh-CN"/>
        </w:rPr>
      </w:pPr>
    </w:p>
    <w:p w14:paraId="5A9C2D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根据华财发[2024] 39号《关于开展2023年度单位自评及部门评价工作的通知》精神，结合具体情况，现将2023年度部门整体支出绩效评价情况报告如下:</w:t>
      </w:r>
    </w:p>
    <w:p w14:paraId="6E9087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一、指标完成情况</w:t>
      </w:r>
    </w:p>
    <w:p w14:paraId="107A17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2023年我县社会消费品零售总额完成4.82亿元，增长5.3%</w:t>
      </w:r>
      <w:r>
        <w:rPr>
          <w:rFonts w:hint="eastAsia" w:ascii="楷体_GB2312" w:hAnsi="楷体_GB2312" w:eastAsia="楷体_GB2312" w:cs="楷体_GB2312"/>
          <w:b/>
          <w:bCs/>
          <w:sz w:val="28"/>
          <w:szCs w:val="28"/>
          <w:lang w:val="en-US" w:eastAsia="zh-CN"/>
        </w:rPr>
        <w:t>（其中，限额以上社会消费品零售额完成3861.4万元，同比增长15.2%；限额以下社会消费品零总额完成44337万</w:t>
      </w:r>
      <w:bookmarkStart w:id="0" w:name="_GoBack"/>
      <w:bookmarkEnd w:id="0"/>
      <w:r>
        <w:rPr>
          <w:rFonts w:hint="eastAsia" w:ascii="楷体_GB2312" w:hAnsi="楷体_GB2312" w:eastAsia="楷体_GB2312" w:cs="楷体_GB2312"/>
          <w:b/>
          <w:bCs/>
          <w:sz w:val="28"/>
          <w:szCs w:val="28"/>
          <w:lang w:val="en-US" w:eastAsia="zh-CN"/>
        </w:rPr>
        <w:t>元，同比增长4.51%）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低于</w:t>
      </w:r>
      <w:r>
        <w:rPr>
          <w:rFonts w:hint="eastAsia" w:ascii="仿宋_GB2312" w:hAnsi="仿宋_GB2312" w:eastAsia="仿宋_GB2312" w:cs="仿宋_GB2312"/>
          <w:b w:val="0"/>
          <w:bCs w:val="0"/>
          <w:sz w:val="32"/>
          <w:szCs w:val="32"/>
          <w:lang w:val="en-US" w:eastAsia="zh-CN"/>
        </w:rPr>
        <w:t>全省</w:t>
      </w:r>
      <w:r>
        <w:rPr>
          <w:rFonts w:hint="eastAsia" w:ascii="仿宋_GB2312" w:hAnsi="仿宋_GB2312" w:eastAsia="仿宋_GB2312" w:cs="仿宋_GB2312"/>
          <w:sz w:val="32"/>
          <w:szCs w:val="32"/>
          <w:lang w:val="en-US" w:eastAsia="zh-CN"/>
        </w:rPr>
        <w:t>9.2%增速3.9个百分点，</w:t>
      </w:r>
      <w:r>
        <w:rPr>
          <w:rFonts w:hint="eastAsia" w:ascii="仿宋_GB2312" w:hAnsi="仿宋_GB2312" w:eastAsia="仿宋_GB2312" w:cs="仿宋_GB2312"/>
          <w:b/>
          <w:bCs/>
          <w:sz w:val="32"/>
          <w:szCs w:val="32"/>
          <w:lang w:val="en-US" w:eastAsia="zh-CN"/>
        </w:rPr>
        <w:t>低于</w:t>
      </w:r>
      <w:r>
        <w:rPr>
          <w:rFonts w:hint="eastAsia" w:ascii="仿宋_GB2312" w:hAnsi="仿宋_GB2312" w:eastAsia="仿宋_GB2312" w:cs="仿宋_GB2312"/>
          <w:sz w:val="32"/>
          <w:szCs w:val="32"/>
          <w:lang w:val="en-US" w:eastAsia="zh-CN"/>
        </w:rPr>
        <w:t>调度目标增速（11.0%）5.7个百分点，</w:t>
      </w:r>
      <w:r>
        <w:rPr>
          <w:rFonts w:hint="eastAsia" w:ascii="仿宋_GB2312" w:hAnsi="仿宋_GB2312" w:eastAsia="仿宋_GB2312" w:cs="仿宋_GB2312"/>
          <w:b/>
          <w:bCs/>
          <w:sz w:val="32"/>
          <w:szCs w:val="32"/>
          <w:lang w:val="en-US" w:eastAsia="zh-CN"/>
        </w:rPr>
        <w:t>高于</w:t>
      </w:r>
      <w:r>
        <w:rPr>
          <w:rFonts w:hint="eastAsia" w:ascii="仿宋_GB2312" w:hAnsi="仿宋_GB2312" w:eastAsia="仿宋_GB2312" w:cs="仿宋_GB2312"/>
          <w:sz w:val="32"/>
          <w:szCs w:val="32"/>
          <w:lang w:val="en-US" w:eastAsia="zh-CN"/>
        </w:rPr>
        <w:t>全市4.8%增速0.5个百分点，位列全市第三。</w:t>
      </w:r>
    </w:p>
    <w:p w14:paraId="7570A5E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sz w:val="32"/>
          <w:szCs w:val="32"/>
          <w:lang w:val="en-US" w:eastAsia="zh-CN"/>
        </w:rPr>
      </w:pPr>
      <w:r>
        <w:rPr>
          <w:rFonts w:hint="eastAsia" w:ascii="Times New Roman" w:hAnsi="Times New Roman" w:eastAsia="仿宋_GB2312" w:cs="仿宋_GB2312"/>
          <w:sz w:val="32"/>
          <w:szCs w:val="32"/>
          <w:lang w:val="en-US" w:eastAsia="zh-CN"/>
        </w:rPr>
        <w:t>我县限额以上社会消费品零售额总额完成6143.9万元，同比增长11.65%；8个限下样本点累计完成零售额2359.8万元，同比增长39.43%，完成851.7万元，同比增长33.14%。</w:t>
      </w:r>
    </w:p>
    <w:p w14:paraId="73C6D3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二、原因分析</w:t>
      </w:r>
    </w:p>
    <w:p w14:paraId="00609CE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i w:val="0"/>
          <w:iCs w:val="0"/>
          <w:sz w:val="32"/>
          <w:szCs w:val="32"/>
          <w:lang w:val="en-US" w:eastAsia="zh-CN"/>
        </w:rPr>
      </w:pPr>
      <w:r>
        <w:rPr>
          <w:rFonts w:hint="eastAsia" w:ascii="仿宋_GB2312" w:hAnsi="仿宋_GB2312" w:eastAsia="仿宋_GB2312" w:cs="仿宋_GB2312"/>
          <w:b/>
          <w:bCs/>
          <w:i w:val="0"/>
          <w:iCs w:val="0"/>
          <w:sz w:val="32"/>
          <w:szCs w:val="32"/>
          <w:lang w:val="en-US" w:eastAsia="zh-CN"/>
        </w:rPr>
        <w:t>从全县整体情况看。一是</w:t>
      </w:r>
      <w:r>
        <w:rPr>
          <w:rFonts w:hint="eastAsia" w:ascii="仿宋_GB2312" w:hAnsi="仿宋_GB2312" w:eastAsia="仿宋_GB2312" w:cs="仿宋_GB2312"/>
          <w:b w:val="0"/>
          <w:bCs w:val="0"/>
          <w:i w:val="0"/>
          <w:iCs w:val="0"/>
          <w:sz w:val="32"/>
          <w:szCs w:val="32"/>
          <w:lang w:val="en-US" w:eastAsia="zh-CN"/>
        </w:rPr>
        <w:t>全县经济体量小，加之县城人口不足3万，消费需求总量小。</w:t>
      </w:r>
      <w:r>
        <w:rPr>
          <w:rFonts w:hint="eastAsia" w:ascii="仿宋_GB2312" w:hAnsi="仿宋_GB2312" w:eastAsia="仿宋_GB2312" w:cs="仿宋_GB2312"/>
          <w:b/>
          <w:bCs/>
          <w:i w:val="0"/>
          <w:iCs w:val="0"/>
          <w:sz w:val="32"/>
          <w:szCs w:val="32"/>
          <w:lang w:val="en-US" w:eastAsia="zh-CN"/>
        </w:rPr>
        <w:t>二是</w:t>
      </w:r>
      <w:r>
        <w:rPr>
          <w:rFonts w:hint="eastAsia" w:ascii="仿宋_GB2312" w:hAnsi="仿宋_GB2312" w:eastAsia="仿宋_GB2312" w:cs="仿宋_GB2312"/>
          <w:i w:val="0"/>
          <w:iCs w:val="0"/>
          <w:sz w:val="32"/>
          <w:szCs w:val="32"/>
          <w:lang w:val="en-US" w:eastAsia="zh-CN"/>
        </w:rPr>
        <w:t>后疫情时代，全社会整体生活必需品消费、大宗家庭消费以及文旅消费低于预期，消费拉动成效不明显。</w:t>
      </w:r>
      <w:r>
        <w:rPr>
          <w:rFonts w:hint="eastAsia" w:ascii="仿宋_GB2312" w:hAnsi="仿宋_GB2312" w:eastAsia="仿宋_GB2312" w:cs="仿宋_GB2312"/>
          <w:b/>
          <w:bCs/>
          <w:i w:val="0"/>
          <w:iCs w:val="0"/>
          <w:sz w:val="32"/>
          <w:szCs w:val="32"/>
          <w:lang w:val="en-US" w:eastAsia="zh-CN"/>
        </w:rPr>
        <w:t>三是</w:t>
      </w:r>
      <w:r>
        <w:rPr>
          <w:rFonts w:hint="eastAsia" w:ascii="仿宋_GB2312" w:hAnsi="仿宋_GB2312" w:eastAsia="仿宋_GB2312" w:cs="仿宋_GB2312"/>
          <w:i w:val="0"/>
          <w:iCs w:val="0"/>
          <w:sz w:val="32"/>
          <w:szCs w:val="32"/>
          <w:lang w:val="en-US" w:eastAsia="zh-CN"/>
        </w:rPr>
        <w:t>限额以上企业整体规模小，市场带动能力不足，限上企业零售额占全县社零仅为8.01%。</w:t>
      </w:r>
      <w:r>
        <w:rPr>
          <w:rFonts w:hint="eastAsia" w:ascii="仿宋_GB2312" w:hAnsi="仿宋_GB2312" w:eastAsia="仿宋_GB2312" w:cs="仿宋_GB2312"/>
          <w:b/>
          <w:bCs/>
          <w:i w:val="0"/>
          <w:iCs w:val="0"/>
          <w:sz w:val="32"/>
          <w:szCs w:val="32"/>
          <w:lang w:val="en-US" w:eastAsia="zh-CN"/>
        </w:rPr>
        <w:t>四是</w:t>
      </w:r>
      <w:r>
        <w:rPr>
          <w:rFonts w:hint="eastAsia" w:ascii="仿宋_GB2312" w:hAnsi="仿宋_GB2312" w:eastAsia="仿宋_GB2312" w:cs="仿宋_GB2312"/>
          <w:i w:val="0"/>
          <w:iCs w:val="0"/>
          <w:sz w:val="32"/>
          <w:szCs w:val="32"/>
          <w:lang w:val="en-US" w:eastAsia="zh-CN"/>
        </w:rPr>
        <w:t>新入库企业少，培育新增长点企业匮乏，餐饮、文旅等行业缺乏龙头企业。</w:t>
      </w:r>
    </w:p>
    <w:p w14:paraId="1953985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bCs/>
          <w:i w:val="0"/>
          <w:iCs w:val="0"/>
          <w:sz w:val="32"/>
          <w:szCs w:val="32"/>
          <w:lang w:val="en-US" w:eastAsia="zh-CN"/>
        </w:rPr>
        <w:t>从限上企业经营情况看。</w:t>
      </w:r>
      <w:r>
        <w:rPr>
          <w:rFonts w:hint="eastAsia" w:ascii="仿宋_GB2312" w:hAnsi="仿宋_GB2312" w:eastAsia="仿宋_GB2312" w:cs="仿宋_GB2312"/>
          <w:b w:val="0"/>
          <w:bCs w:val="0"/>
          <w:i w:val="0"/>
          <w:iCs w:val="0"/>
          <w:sz w:val="32"/>
          <w:szCs w:val="32"/>
          <w:lang w:val="en-US" w:eastAsia="zh-CN"/>
        </w:rPr>
        <w:t>在库上报数据的企业12个，累积完成零售额5386.4万元，增长10.82%。累积零售额保持正增长的企业8个，其中增速10%以上的4个，累积零售额负增长的企业4个，其中负增长接近-30%的企业3个，零售业和餐饮业增速差距明显。</w:t>
      </w:r>
    </w:p>
    <w:p w14:paraId="417E0B2F">
      <w:pPr>
        <w:pStyle w:val="7"/>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rPr>
          <w:rFonts w:hint="eastAsia" w:ascii="仿宋_GB2312" w:hAnsi="仿宋_GB2312" w:eastAsia="仿宋_GB2312" w:cs="仿宋_GB2312"/>
          <w:b w:val="0"/>
          <w:bCs w:val="0"/>
          <w:i w:val="0"/>
          <w:iCs w:val="0"/>
          <w:sz w:val="32"/>
          <w:szCs w:val="32"/>
          <w:lang w:val="en-US" w:eastAsia="zh-CN"/>
        </w:rPr>
      </w:pPr>
      <w:r>
        <w:rPr>
          <w:rFonts w:hint="eastAsia" w:ascii="仿宋_GB2312" w:hAnsi="仿宋_GB2312" w:eastAsia="仿宋_GB2312" w:cs="仿宋_GB2312"/>
          <w:b/>
          <w:bCs/>
          <w:i w:val="0"/>
          <w:iCs w:val="0"/>
          <w:sz w:val="32"/>
          <w:szCs w:val="32"/>
          <w:lang w:val="en-US" w:eastAsia="zh-CN"/>
        </w:rPr>
        <w:t>零售企业基本实现正增长</w:t>
      </w:r>
      <w:r>
        <w:rPr>
          <w:rFonts w:hint="eastAsia" w:ascii="仿宋_GB2312" w:hAnsi="仿宋_GB2312" w:eastAsia="仿宋_GB2312" w:cs="仿宋_GB2312"/>
          <w:b w:val="0"/>
          <w:bCs w:val="0"/>
          <w:i w:val="0"/>
          <w:iCs w:val="0"/>
          <w:sz w:val="32"/>
          <w:szCs w:val="32"/>
          <w:lang w:val="en-US" w:eastAsia="zh-CN"/>
        </w:rPr>
        <w:t>。</w:t>
      </w:r>
      <w:r>
        <w:rPr>
          <w:rFonts w:hint="eastAsia" w:ascii="仿宋_GB2312" w:hAnsi="仿宋_GB2312" w:eastAsia="仿宋_GB2312" w:cs="仿宋_GB2312"/>
          <w:b/>
          <w:bCs/>
          <w:i w:val="0"/>
          <w:iCs w:val="0"/>
          <w:sz w:val="32"/>
          <w:szCs w:val="32"/>
          <w:lang w:val="en-US" w:eastAsia="zh-CN"/>
        </w:rPr>
        <w:t>百货零售方面，百盛商贸</w:t>
      </w:r>
      <w:r>
        <w:rPr>
          <w:rFonts w:hint="eastAsia" w:ascii="仿宋_GB2312" w:hAnsi="仿宋_GB2312" w:eastAsia="仿宋_GB2312" w:cs="仿宋_GB2312"/>
          <w:b w:val="0"/>
          <w:bCs w:val="0"/>
          <w:i w:val="0"/>
          <w:iCs w:val="0"/>
          <w:sz w:val="32"/>
          <w:szCs w:val="32"/>
          <w:lang w:val="en-US" w:eastAsia="zh-CN"/>
        </w:rPr>
        <w:t>保持3%左右低速增长，</w:t>
      </w:r>
      <w:r>
        <w:rPr>
          <w:rFonts w:hint="eastAsia" w:ascii="仿宋_GB2312" w:hAnsi="仿宋_GB2312" w:eastAsia="仿宋_GB2312" w:cs="仿宋_GB2312"/>
          <w:b/>
          <w:bCs/>
          <w:i w:val="0"/>
          <w:iCs w:val="0"/>
          <w:sz w:val="32"/>
          <w:szCs w:val="32"/>
          <w:lang w:val="en-US" w:eastAsia="zh-CN"/>
        </w:rPr>
        <w:t>凯源供销社</w:t>
      </w:r>
      <w:r>
        <w:rPr>
          <w:rFonts w:hint="eastAsia" w:ascii="仿宋_GB2312" w:hAnsi="仿宋_GB2312" w:eastAsia="仿宋_GB2312" w:cs="仿宋_GB2312"/>
          <w:i w:val="0"/>
          <w:iCs w:val="0"/>
          <w:sz w:val="32"/>
          <w:szCs w:val="32"/>
          <w:lang w:val="en-US" w:eastAsia="zh-CN"/>
        </w:rPr>
        <w:t>销售额略低于去年同期，4户企业通过招标，主要向学校、石油作业单位供给粮油蔬菜，订单销售占零售额绝大部分，对普通消费者依存度较低。</w:t>
      </w:r>
      <w:r>
        <w:rPr>
          <w:rFonts w:hint="eastAsia" w:ascii="仿宋_GB2312" w:hAnsi="仿宋_GB2312" w:eastAsia="仿宋_GB2312" w:cs="仿宋_GB2312"/>
          <w:b/>
          <w:bCs/>
          <w:i w:val="0"/>
          <w:iCs w:val="0"/>
          <w:sz w:val="32"/>
          <w:szCs w:val="32"/>
          <w:lang w:val="en-US" w:eastAsia="zh-CN"/>
        </w:rPr>
        <w:t>生活燃料销售方面，华能</w:t>
      </w:r>
      <w:r>
        <w:rPr>
          <w:rFonts w:hint="eastAsia" w:ascii="仿宋_GB2312" w:hAnsi="仿宋_GB2312" w:eastAsia="仿宋_GB2312" w:cs="仿宋_GB2312"/>
          <w:b w:val="0"/>
          <w:bCs w:val="0"/>
          <w:i w:val="0"/>
          <w:iCs w:val="0"/>
          <w:sz w:val="32"/>
          <w:szCs w:val="32"/>
          <w:lang w:val="en-US" w:eastAsia="zh-CN"/>
        </w:rPr>
        <w:t>汽油和柴油销售量基本稳定，因统计口径变化，部分柴油销售不计入零售额，导致上报的零售额下降，累积下降-26.12%。</w:t>
      </w:r>
      <w:r>
        <w:rPr>
          <w:rFonts w:hint="eastAsia" w:ascii="仿宋_GB2312" w:hAnsi="仿宋_GB2312" w:eastAsia="仿宋_GB2312" w:cs="仿宋_GB2312"/>
          <w:b/>
          <w:bCs/>
          <w:i w:val="0"/>
          <w:iCs w:val="0"/>
          <w:sz w:val="32"/>
          <w:szCs w:val="32"/>
          <w:lang w:val="en-US" w:eastAsia="zh-CN"/>
        </w:rPr>
        <w:t>中药材批发方面，恒烽</w:t>
      </w:r>
      <w:r>
        <w:rPr>
          <w:rFonts w:hint="eastAsia" w:ascii="仿宋_GB2312" w:hAnsi="仿宋_GB2312" w:eastAsia="仿宋_GB2312" w:cs="仿宋_GB2312"/>
          <w:b w:val="0"/>
          <w:bCs w:val="0"/>
          <w:i w:val="0"/>
          <w:iCs w:val="0"/>
          <w:sz w:val="32"/>
          <w:szCs w:val="32"/>
          <w:lang w:val="en-US" w:eastAsia="zh-CN"/>
        </w:rPr>
        <w:t>中药材批发销售主要集中在第四季度，预计销售额2400万元以上。</w:t>
      </w:r>
    </w:p>
    <w:p w14:paraId="3233117A">
      <w:pPr>
        <w:pStyle w:val="7"/>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rPr>
          <w:rFonts w:hint="default" w:ascii="仿宋_GB2312" w:hAnsi="仿宋_GB2312" w:eastAsia="仿宋_GB2312" w:cs="仿宋_GB2312"/>
          <w:b w:val="0"/>
          <w:bCs w:val="0"/>
          <w:i w:val="0"/>
          <w:iCs w:val="0"/>
          <w:sz w:val="32"/>
          <w:szCs w:val="32"/>
          <w:lang w:val="en-US" w:eastAsia="zh-CN"/>
        </w:rPr>
      </w:pPr>
      <w:r>
        <w:rPr>
          <w:rFonts w:hint="default" w:ascii="仿宋_GB2312" w:hAnsi="仿宋_GB2312" w:eastAsia="仿宋_GB2312" w:cs="仿宋_GB2312"/>
          <w:b/>
          <w:bCs/>
          <w:i w:val="0"/>
          <w:iCs w:val="0"/>
          <w:sz w:val="32"/>
          <w:szCs w:val="32"/>
          <w:lang w:val="en-US" w:eastAsia="zh-CN"/>
        </w:rPr>
        <w:t>餐饮</w:t>
      </w:r>
      <w:r>
        <w:rPr>
          <w:rFonts w:hint="eastAsia" w:ascii="仿宋_GB2312" w:hAnsi="仿宋_GB2312" w:eastAsia="仿宋_GB2312" w:cs="仿宋_GB2312"/>
          <w:b/>
          <w:bCs/>
          <w:i w:val="0"/>
          <w:iCs w:val="0"/>
          <w:sz w:val="32"/>
          <w:szCs w:val="32"/>
          <w:lang w:val="en-US" w:eastAsia="zh-CN"/>
        </w:rPr>
        <w:t>业企业经营状况差距明显。小胡餐饮</w:t>
      </w:r>
      <w:r>
        <w:rPr>
          <w:rFonts w:hint="eastAsia" w:ascii="仿宋_GB2312" w:hAnsi="仿宋_GB2312" w:eastAsia="仿宋_GB2312" w:cs="仿宋_GB2312"/>
          <w:b w:val="0"/>
          <w:bCs w:val="0"/>
          <w:i w:val="0"/>
          <w:iCs w:val="0"/>
          <w:sz w:val="32"/>
          <w:szCs w:val="32"/>
          <w:lang w:val="en-US" w:eastAsia="zh-CN"/>
        </w:rPr>
        <w:t>采取抖音团购及满减促销等方式，客流量基本稳定，累积增长4.13%，</w:t>
      </w:r>
      <w:r>
        <w:rPr>
          <w:rFonts w:hint="eastAsia" w:ascii="仿宋_GB2312" w:hAnsi="仿宋_GB2312" w:eastAsia="仿宋_GB2312" w:cs="仿宋_GB2312"/>
          <w:b/>
          <w:bCs/>
          <w:i w:val="0"/>
          <w:iCs w:val="0"/>
          <w:sz w:val="32"/>
          <w:szCs w:val="32"/>
          <w:lang w:val="en-US" w:eastAsia="zh-CN"/>
        </w:rPr>
        <w:t>县招待所</w:t>
      </w:r>
      <w:r>
        <w:rPr>
          <w:rFonts w:hint="eastAsia" w:ascii="仿宋_GB2312" w:hAnsi="仿宋_GB2312" w:eastAsia="仿宋_GB2312" w:cs="仿宋_GB2312"/>
          <w:b w:val="0"/>
          <w:bCs w:val="0"/>
          <w:i w:val="0"/>
          <w:iCs w:val="0"/>
          <w:sz w:val="32"/>
          <w:szCs w:val="32"/>
          <w:lang w:val="en-US" w:eastAsia="zh-CN"/>
        </w:rPr>
        <w:t>积极提升服务水平，餐饮零售额增长45.52%。</w:t>
      </w:r>
      <w:r>
        <w:rPr>
          <w:rFonts w:hint="eastAsia" w:ascii="仿宋_GB2312" w:hAnsi="仿宋_GB2312" w:eastAsia="仿宋_GB2312" w:cs="仿宋_GB2312"/>
          <w:b/>
          <w:bCs/>
          <w:i w:val="0"/>
          <w:iCs w:val="0"/>
          <w:sz w:val="32"/>
          <w:szCs w:val="32"/>
          <w:lang w:val="en-US" w:eastAsia="zh-CN"/>
        </w:rPr>
        <w:t>海璟酒店</w:t>
      </w:r>
      <w:r>
        <w:rPr>
          <w:rFonts w:hint="eastAsia" w:ascii="仿宋_GB2312" w:hAnsi="仿宋_GB2312" w:eastAsia="仿宋_GB2312" w:cs="仿宋_GB2312"/>
          <w:b w:val="0"/>
          <w:bCs w:val="0"/>
          <w:i w:val="0"/>
          <w:iCs w:val="0"/>
          <w:sz w:val="32"/>
          <w:szCs w:val="32"/>
          <w:lang w:val="en-US" w:eastAsia="zh-CN"/>
        </w:rPr>
        <w:t>和</w:t>
      </w:r>
      <w:r>
        <w:rPr>
          <w:rFonts w:hint="eastAsia" w:ascii="仿宋_GB2312" w:hAnsi="仿宋_GB2312" w:eastAsia="仿宋_GB2312" w:cs="仿宋_GB2312"/>
          <w:b/>
          <w:bCs/>
          <w:i w:val="0"/>
          <w:iCs w:val="0"/>
          <w:sz w:val="32"/>
          <w:szCs w:val="32"/>
          <w:lang w:val="en-US" w:eastAsia="zh-CN"/>
        </w:rPr>
        <w:t>斗牛火锅</w:t>
      </w:r>
      <w:r>
        <w:rPr>
          <w:rFonts w:hint="eastAsia" w:ascii="仿宋_GB2312" w:hAnsi="仿宋_GB2312" w:eastAsia="仿宋_GB2312" w:cs="仿宋_GB2312"/>
          <w:b w:val="0"/>
          <w:bCs w:val="0"/>
          <w:i w:val="0"/>
          <w:iCs w:val="0"/>
          <w:sz w:val="32"/>
          <w:szCs w:val="32"/>
          <w:lang w:val="en-US" w:eastAsia="zh-CN"/>
        </w:rPr>
        <w:t>经营模式单一，硬件设施老旧，缺乏有效营销推广活动，经营状况不佳，营收连续下降，零售额增速分别为-28.06%、-27.28%。目前，斗牛火锅通过积极开展促销活动、更换菜品等方式，月零售额有所增长，但与去年同期相比差距较大，增速-40%左右。</w:t>
      </w:r>
    </w:p>
    <w:p w14:paraId="6F841508">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i w:val="0"/>
          <w:iCs w:val="0"/>
          <w:sz w:val="32"/>
          <w:szCs w:val="32"/>
          <w:lang w:val="en-US" w:eastAsia="zh-CN"/>
        </w:rPr>
      </w:pPr>
      <w:r>
        <w:rPr>
          <w:rFonts w:hint="eastAsia" w:ascii="黑体" w:hAnsi="黑体" w:eastAsia="黑体" w:cs="黑体"/>
          <w:i w:val="0"/>
          <w:iCs w:val="0"/>
          <w:sz w:val="32"/>
          <w:szCs w:val="32"/>
          <w:lang w:val="en-US" w:eastAsia="zh-CN"/>
        </w:rPr>
        <w:t>三、下一步打算及抓促措施</w:t>
      </w:r>
    </w:p>
    <w:p w14:paraId="09F7DE8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按照“限上企业抓增长、达限企业抓入库、潜力企业抓培育、新建企业抓跟踪”工作思路，加强“企转规”政策宣传，</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强化近限企业跟踪培育，重点做好</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川味聚</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张雷商贸</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和</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城乡情缘</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和</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通达农机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的入库衔接等工作，全力完成限上企业入库任务。</w:t>
      </w:r>
    </w:p>
    <w:p w14:paraId="47BC79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二是</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继续落实</w:t>
      </w:r>
      <w:r>
        <w:rPr>
          <w:rFonts w:hint="eastAsia" w:ascii="仿宋_GB2312" w:hAnsi="仿宋_GB2312" w:eastAsia="仿宋_GB2312" w:cs="仿宋_GB2312"/>
          <w:sz w:val="32"/>
          <w:szCs w:val="32"/>
          <w:lang w:val="en-US" w:eastAsia="zh-CN"/>
        </w:rPr>
        <w:t>《庆阳市人民政府办公室关于印发&lt;庆阳市贯彻落实促进服务业领域困难行业恢复发展若干政策的实施方案&gt;的通知》精神，兑现奖励扶持资金</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p>
    <w:p w14:paraId="20814F1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组织企业开展形式多样、内容丰富、诚信规范的扩内需、促消费活动，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抓好消费券促销和抽奖促销，</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着力扩大汽车消费、激活家电家具市场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。特别是针对营收连续下降的</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斗牛火锅</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和</w:t>
      </w: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海璟酒店</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，指导开发新菜品、更新店面、借助抖音等电商平台做好产品推广和促销活动，努力聚集人气。</w:t>
      </w:r>
    </w:p>
    <w:p w14:paraId="258E5E8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四是</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积极</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发展地摊经济和夜间经济，挖掘消费潜力</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持续活跃内贸市场。</w:t>
      </w:r>
    </w:p>
    <w:p w14:paraId="11AB610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b/>
          <w:bCs/>
          <w:color w:val="000000" w:themeColor="text1"/>
          <w:sz w:val="32"/>
          <w:szCs w:val="32"/>
          <w:lang w:val="en-US" w:eastAsia="zh-CN"/>
          <w14:textFill>
            <w14:solidFill>
              <w14:schemeClr w14:val="tx1"/>
            </w14:solidFill>
          </w14:textFill>
        </w:rPr>
        <w:t>五是</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实施好县域商业建设行动，指导督促各乡镇完成乡镇农贸市场提升改造项目、乡镇商贸中心提升改造项目、华池县农产品加工处理改造提升项目、华池县快递物流仓储配送中心改造提升项目和县乡村三级物流网点升级改造项目等5个项目建设任务，大力改造提升商业基础设施，进一步改善商品流通和城乡居民消费环境。完成全部建设任务。</w:t>
      </w:r>
    </w:p>
    <w:p w14:paraId="3DD64549">
      <w:pPr>
        <w:pStyle w:val="7"/>
        <w:keepNext w:val="0"/>
        <w:keepLines w:val="0"/>
        <w:pageBreakBefore w:val="0"/>
        <w:widowControl w:val="0"/>
        <w:kinsoku/>
        <w:wordWrap/>
        <w:overflowPunct/>
        <w:topLinePunct w:val="0"/>
        <w:autoSpaceDE/>
        <w:autoSpaceDN/>
        <w:bidi w:val="0"/>
        <w:adjustRightInd/>
        <w:snapToGrid/>
        <w:spacing w:after="0" w:line="560" w:lineRule="exact"/>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p>
    <w:p w14:paraId="0E23C205">
      <w:pPr>
        <w:pStyle w:val="7"/>
        <w:keepNext w:val="0"/>
        <w:keepLines w:val="0"/>
        <w:pageBreakBefore w:val="0"/>
        <w:widowControl w:val="0"/>
        <w:kinsoku/>
        <w:wordWrap/>
        <w:overflowPunct/>
        <w:topLinePunct w:val="0"/>
        <w:autoSpaceDE/>
        <w:autoSpaceDN/>
        <w:bidi w:val="0"/>
        <w:adjustRightInd/>
        <w:snapToGrid/>
        <w:spacing w:after="0" w:line="560" w:lineRule="exact"/>
        <w:ind w:firstLine="5120" w:firstLineChars="160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华池县商务局</w:t>
      </w:r>
    </w:p>
    <w:p w14:paraId="185829AE">
      <w:pPr>
        <w:pStyle w:val="7"/>
        <w:keepNext w:val="0"/>
        <w:keepLines w:val="0"/>
        <w:pageBreakBefore w:val="0"/>
        <w:widowControl w:val="0"/>
        <w:kinsoku/>
        <w:wordWrap/>
        <w:overflowPunct/>
        <w:topLinePunct w:val="0"/>
        <w:autoSpaceDE/>
        <w:autoSpaceDN/>
        <w:bidi w:val="0"/>
        <w:adjustRightInd/>
        <w:snapToGrid/>
        <w:spacing w:after="0" w:line="560" w:lineRule="exact"/>
        <w:ind w:firstLine="5120" w:firstLineChars="16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2024年9月20日</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w:panose1 w:val="020B0602030504020204"/>
    <w:charset w:val="00"/>
    <w:family w:val="swiss"/>
    <w:pitch w:val="default"/>
    <w:sig w:usb0="00000003" w:usb1="00000000" w:usb2="00000000" w:usb3="00000000" w:csb0="20000001"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9E0FD">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2472690</wp:posOffset>
              </wp:positionH>
              <wp:positionV relativeFrom="paragraph">
                <wp:posOffset>-43180</wp:posOffset>
              </wp:positionV>
              <wp:extent cx="808355" cy="4660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8355" cy="466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AED3B">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94.7pt;margin-top:-3.4pt;height:36.7pt;width:63.65pt;mso-position-horizontal-relative:margin;z-index:251659264;mso-width-relative:page;mso-height-relative:page;" filled="f" stroked="f" coordsize="21600,21600" o:gfxdata="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bay/k2AAAAAkBAAAPAAAAAAAAAAEAIAAAACIAAABkcnMvZG93bnJl&#10;di54bWxQSwECFAAUAAAACACHTuJALFAFNDYCAABhBAAADgAAAAAAAAABACAAAAAnAQAAZHJzL2Uy&#10;b0RvYy54bWxQSwUGAAAAAAYABgBZAQAAzwUAAAAA&#10;">
              <v:fill on="f" focussize="0,0"/>
              <v:stroke on="f" weight="0.5pt"/>
              <v:imagedata o:title=""/>
              <o:lock v:ext="edit" aspectratio="f"/>
              <v:textbox inset="0mm,0mm,0mm,0mm">
                <w:txbxContent>
                  <w:p w14:paraId="6E3AED3B">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kMjg5MDkwOTVlOThlOTNhOTY3Y2I4YTQyNTA5MTgifQ=="/>
  </w:docVars>
  <w:rsids>
    <w:rsidRoot w:val="00000000"/>
    <w:rsid w:val="00BF52BD"/>
    <w:rsid w:val="0196601E"/>
    <w:rsid w:val="06650CCB"/>
    <w:rsid w:val="06915006"/>
    <w:rsid w:val="095567BF"/>
    <w:rsid w:val="0E63372C"/>
    <w:rsid w:val="11845E93"/>
    <w:rsid w:val="119F67DB"/>
    <w:rsid w:val="11F8418B"/>
    <w:rsid w:val="12020A14"/>
    <w:rsid w:val="120E437B"/>
    <w:rsid w:val="13C20EF5"/>
    <w:rsid w:val="13D237EE"/>
    <w:rsid w:val="15845DEA"/>
    <w:rsid w:val="180E64B6"/>
    <w:rsid w:val="199B6470"/>
    <w:rsid w:val="1A197D95"/>
    <w:rsid w:val="1D7940CD"/>
    <w:rsid w:val="1E1E31CB"/>
    <w:rsid w:val="205B1F51"/>
    <w:rsid w:val="20C55B80"/>
    <w:rsid w:val="213B722A"/>
    <w:rsid w:val="21BF231B"/>
    <w:rsid w:val="243438D2"/>
    <w:rsid w:val="268B5A62"/>
    <w:rsid w:val="26CC32CF"/>
    <w:rsid w:val="27916B59"/>
    <w:rsid w:val="285E7C43"/>
    <w:rsid w:val="29FA4AED"/>
    <w:rsid w:val="2C5F50DB"/>
    <w:rsid w:val="2D0A773C"/>
    <w:rsid w:val="2D6F055F"/>
    <w:rsid w:val="2FF26266"/>
    <w:rsid w:val="33147DF4"/>
    <w:rsid w:val="35AA061E"/>
    <w:rsid w:val="35DF3D8A"/>
    <w:rsid w:val="394E275F"/>
    <w:rsid w:val="3BDE2A93"/>
    <w:rsid w:val="41F62FEE"/>
    <w:rsid w:val="43A0005B"/>
    <w:rsid w:val="44161901"/>
    <w:rsid w:val="44652225"/>
    <w:rsid w:val="46890199"/>
    <w:rsid w:val="468E4AE3"/>
    <w:rsid w:val="4AED328C"/>
    <w:rsid w:val="4D243AAB"/>
    <w:rsid w:val="4D8A271A"/>
    <w:rsid w:val="4E053FCA"/>
    <w:rsid w:val="4E5C1022"/>
    <w:rsid w:val="4FE87012"/>
    <w:rsid w:val="518B234A"/>
    <w:rsid w:val="5495703C"/>
    <w:rsid w:val="56262642"/>
    <w:rsid w:val="56345550"/>
    <w:rsid w:val="57014E5D"/>
    <w:rsid w:val="59EA1A72"/>
    <w:rsid w:val="5B4B00E1"/>
    <w:rsid w:val="5D3464A1"/>
    <w:rsid w:val="5E531B6C"/>
    <w:rsid w:val="5E9D4E48"/>
    <w:rsid w:val="615A6AA4"/>
    <w:rsid w:val="62257C51"/>
    <w:rsid w:val="63C93C36"/>
    <w:rsid w:val="66E2675C"/>
    <w:rsid w:val="67680873"/>
    <w:rsid w:val="6A001E1E"/>
    <w:rsid w:val="6AE4382F"/>
    <w:rsid w:val="6E0077C5"/>
    <w:rsid w:val="6E777A87"/>
    <w:rsid w:val="6EA376B9"/>
    <w:rsid w:val="75127682"/>
    <w:rsid w:val="7A951295"/>
    <w:rsid w:val="7AED10D1"/>
    <w:rsid w:val="7BB120FE"/>
    <w:rsid w:val="7BC736D0"/>
    <w:rsid w:val="7E374C59"/>
    <w:rsid w:val="7FA14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99"/>
    <w:pPr>
      <w:suppressLineNumbers/>
      <w:spacing w:before="120" w:after="120"/>
    </w:pPr>
    <w:rPr>
      <w:rFonts w:cs="Lucida Sans"/>
      <w:i/>
      <w:iCs/>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BodyText1I"/>
    <w:basedOn w:val="8"/>
    <w:qFormat/>
    <w:uiPriority w:val="0"/>
    <w:pPr>
      <w:spacing w:after="120"/>
      <w:ind w:firstLine="420" w:firstLineChars="100"/>
      <w:jc w:val="both"/>
      <w:textAlignment w:val="baseline"/>
    </w:pPr>
  </w:style>
  <w:style w:type="paragraph" w:customStyle="1" w:styleId="8">
    <w:name w:val="BodyText"/>
    <w:basedOn w:val="1"/>
    <w:qFormat/>
    <w:uiPriority w:val="0"/>
    <w:pPr>
      <w:spacing w:after="120"/>
      <w:jc w:val="both"/>
      <w:textAlignment w:val="baseline"/>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1459</Words>
  <Characters>1600</Characters>
  <Lines>0</Lines>
  <Paragraphs>0</Paragraphs>
  <TotalTime>9</TotalTime>
  <ScaleCrop>false</ScaleCrop>
  <LinksUpToDate>false</LinksUpToDate>
  <CharactersWithSpaces>1601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2023-07-11T03:43:00Z</dcterms:created>
  <dc:creator>商务局</dc:creator>
  <cp:lastModifiedBy>张千军</cp:lastModifiedBy>
  <cp:lastPrinted>2024-09-20T07:44:49Z</cp:lastPrinted>
  <dcterms:modified xsi:type="dcterms:W3CDTF">2024-09-20T07:48:01Z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0E1A55AC07AA42F0A30F1956A6476A9B_13</vt:lpwstr>
  </property>
</Properties>
</file>