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方正小标宋简体" w:hAnsi="方正小标宋简体" w:eastAsia="方正小标宋简体" w:cs="方正小标宋简体"/>
          <w:sz w:val="44"/>
          <w:szCs w:val="44"/>
          <w:lang w:val="zh-CN"/>
        </w:rPr>
      </w:pPr>
      <w:r>
        <w:rPr>
          <w:rFonts w:hint="eastAsia" w:ascii="方正小标宋简体" w:hAnsi="方正小标宋简体" w:eastAsia="方正小标宋简体" w:cs="方正小标宋简体"/>
          <w:sz w:val="44"/>
          <w:szCs w:val="44"/>
          <w:lang w:val="zh-CN"/>
        </w:rPr>
        <w:t>2023年度</w:t>
      </w: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方正小标宋简体" w:hAnsi="方正小标宋简体" w:eastAsia="方正小标宋简体" w:cs="方正小标宋简体"/>
          <w:sz w:val="44"/>
          <w:szCs w:val="44"/>
          <w:lang w:val="zh-CN"/>
        </w:rPr>
      </w:pPr>
      <w:r>
        <w:rPr>
          <w:rFonts w:hint="eastAsia" w:ascii="方正小标宋简体" w:hAnsi="方正小标宋简体" w:eastAsia="方正小标宋简体" w:cs="方正小标宋简体"/>
          <w:sz w:val="44"/>
          <w:szCs w:val="44"/>
          <w:lang w:val="zh-CN"/>
        </w:rPr>
        <w:t>中共华池县纪律检查委员会（华池县监察委员会）部门决算</w:t>
      </w: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目录</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二、机构设置</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第二部分2023年度部门决算表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九、财政拨款“三公”经费支出决算表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第三部分2023年度部门决算情况说明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一、收入支出决算总体情况说明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四、财政拨款收入支出决算总体情况说明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七、政府性基金预算财政拨款收支决算情况说明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九、财政拨款“三公”经费支出决算情况说明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十、机关运行经费支出情况说明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十一、政府采购支出情况说明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十二、国有资产占用情况说明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十三、其他需要说明的情况</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第四部分预算绩效情况说明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第五部分名词解释</w:t>
      </w: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仿宋_GB2312" w:hAnsi="仿宋_GB2312" w:eastAsia="仿宋_GB2312" w:cs="仿宋_GB2312"/>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仿宋_GB2312" w:hAnsi="仿宋_GB2312" w:eastAsia="仿宋_GB2312" w:cs="仿宋_GB2312"/>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仿宋_GB2312" w:hAnsi="仿宋_GB2312" w:eastAsia="仿宋_GB2312" w:cs="仿宋_GB2312"/>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仿宋_GB2312" w:hAnsi="仿宋_GB2312" w:eastAsia="仿宋_GB2312" w:cs="仿宋_GB2312"/>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仿宋_GB2312" w:hAnsi="仿宋_GB2312" w:eastAsia="仿宋_GB2312" w:cs="仿宋_GB2312"/>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仿宋_GB2312" w:hAnsi="仿宋_GB2312" w:eastAsia="仿宋_GB2312" w:cs="仿宋_GB2312"/>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仿宋_GB2312" w:hAnsi="仿宋_GB2312" w:eastAsia="仿宋_GB2312" w:cs="仿宋_GB2312"/>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（一）主管全县党的纪律检查工作。</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（二）主管全县国家监察工作。</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（三）受理个人或单位对党员干部和监察对象违纪违规行为的检举、控告；受理党员的控告和申诉；受理监察对象不服政纪处分的申诉；保护党员和国家公职人员的正当权利和合法权益。</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负责作出关于维护党章党纪党规和国家法律法规的决定，参与制定关于加强党风廉政建设的地方性政策、制度、规定；负责制定党风廉政建设和党纪政纪教育计划；配合有关部门做好党的纪律检查工作和国家监察工作的方针、政策、法律、法规的宣传工作；对党员和国家公职人员进行遵纪守法、廉洁从政教育；组织和指导纪检监察系统干部培训工作。</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负责对党的纪律检查和国家监察工作进行理论研究，对党风廉政建设和反腐败工作中带苗头性、倾向性问题进行调查研究。调查了解乡镇和县直部门制定有关政策的情况，对其违反国家法律、法规的条款，提出修改补充的建议；变更或撤销乡镇、县直部门纪检监察组织作出的不适当的决定和规定。</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（六）承办市纪委监委和县委授权交办的其他事宜。</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二、机构设置</w:t>
      </w:r>
    </w:p>
    <w:p>
      <w:pPr>
        <w:pageBreakBefore w:val="0"/>
        <w:widowControl/>
        <w:kinsoku/>
        <w:wordWrap/>
        <w:overflowPunct/>
        <w:topLinePunct w:val="0"/>
        <w:autoSpaceDE/>
        <w:autoSpaceDN/>
        <w:bidi w:val="0"/>
        <w:adjustRightInd/>
        <w:snapToGrid/>
        <w:spacing w:before="100" w:beforeLines="0" w:after="100" w:afterLines="0" w:line="600" w:lineRule="exact"/>
        <w:ind w:firstLine="640"/>
        <w:jc w:val="left"/>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中共华池县纪律检查委员会与华池县监察委员会合署办公，实行一套工作机构、两个机关名称的体制，共同履行党的纪律检查、国家监察两项职责。现有内设机构1</w:t>
      </w:r>
      <w:r>
        <w:rPr>
          <w:rFonts w:hint="eastAsia" w:ascii="仿宋_GB2312" w:hAnsi="仿宋" w:eastAsia="仿宋_GB2312" w:cs="宋体"/>
          <w:kern w:val="0"/>
          <w:sz w:val="32"/>
          <w:szCs w:val="32"/>
          <w:lang w:val="en-US" w:eastAsia="zh-CN"/>
        </w:rPr>
        <w:t>2</w:t>
      </w:r>
      <w:r>
        <w:rPr>
          <w:rFonts w:hint="eastAsia" w:ascii="仿宋_GB2312" w:hAnsi="仿宋" w:eastAsia="仿宋_GB2312" w:cs="宋体"/>
          <w:kern w:val="0"/>
          <w:sz w:val="32"/>
          <w:szCs w:val="32"/>
        </w:rPr>
        <w:t>个（办公室、党风室、信访室、案管室、审理室、</w:t>
      </w:r>
      <w:r>
        <w:rPr>
          <w:rFonts w:hint="eastAsia" w:ascii="仿宋_GB2312" w:hAnsi="仿宋" w:eastAsia="仿宋_GB2312" w:cs="宋体"/>
          <w:kern w:val="0"/>
          <w:sz w:val="32"/>
          <w:szCs w:val="32"/>
          <w:lang w:val="en-US" w:eastAsia="zh-CN"/>
        </w:rPr>
        <w:t>干部监督室、</w:t>
      </w:r>
      <w:r>
        <w:rPr>
          <w:rFonts w:hint="eastAsia" w:ascii="仿宋_GB2312" w:hAnsi="仿宋" w:eastAsia="仿宋_GB2312" w:cs="宋体"/>
          <w:kern w:val="0"/>
          <w:sz w:val="32"/>
          <w:szCs w:val="32"/>
        </w:rPr>
        <w:t>第一至第六纪检监察室），派驻机构</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个（教育局纪检监察组、卫健局纪检监察组、农业农村局纪检监察组、市场监管局纪检监察组、住建局纪检监察组），下属事业单位2个（县纪检监察信息技术管理中心、县党风廉政宣传教育中心）。</w:t>
      </w:r>
    </w:p>
    <w:p>
      <w:pPr>
        <w:pageBreakBefore w:val="0"/>
        <w:widowControl/>
        <w:kinsoku/>
        <w:wordWrap/>
        <w:overflowPunct/>
        <w:topLinePunct w:val="0"/>
        <w:autoSpaceDE/>
        <w:autoSpaceDN/>
        <w:bidi w:val="0"/>
        <w:adjustRightInd/>
        <w:snapToGrid/>
        <w:spacing w:before="100" w:beforeLines="0" w:after="100" w:afterLines="0" w:line="600" w:lineRule="exact"/>
        <w:ind w:firstLine="640"/>
        <w:jc w:val="center"/>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第二部分2023年度部门决算表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一、收入支出决算总体情况说明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1304.99万元。</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收、支</w:t>
      </w:r>
      <w:r>
        <w:rPr>
          <w:rFonts w:hint="eastAsia" w:ascii="仿宋_GB2312" w:hAnsi="仿宋_GB2312" w:eastAsia="仿宋_GB2312" w:cs="仿宋_GB2312"/>
          <w:color w:val="auto"/>
          <w:sz w:val="32"/>
          <w:szCs w:val="32"/>
          <w:lang w:val="en-US"/>
        </w:rPr>
        <w:t>总计各</w:t>
      </w:r>
      <w:r>
        <w:rPr>
          <w:rFonts w:hint="eastAsia" w:ascii="仿宋_GB2312" w:hAnsi="仿宋_GB2312" w:eastAsia="仿宋_GB2312" w:cs="仿宋_GB2312"/>
          <w:color w:val="auto"/>
          <w:sz w:val="32"/>
          <w:szCs w:val="32"/>
          <w:lang w:val="zh-CN"/>
        </w:rPr>
        <w:t>减少236.23万元,下降15.33%,</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年内厉行节约，压减各项支出。</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二、收入决算情况说明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2023年度收入合计1304.99万元,其中：财政拨款收入1304.99万元,占100.00%。</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三、支出决算情况说明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2023年度支出合计1304.99万元,其中：基本支出1277.09万元,占97.86%；项目支出27.89万元,占2.14%。</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四、财政拨款收入支出决算总体情况说明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2023年度财政拨款收、支总计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1304.99万元。与</w:t>
      </w:r>
      <w:r>
        <w:rPr>
          <w:rFonts w:hint="eastAsia" w:ascii="仿宋_GB2312" w:hAnsi="仿宋_GB2312" w:eastAsia="仿宋_GB2312" w:cs="仿宋_GB2312"/>
          <w:color w:val="auto"/>
          <w:sz w:val="32"/>
          <w:szCs w:val="32"/>
          <w:lang w:val="en-US"/>
        </w:rPr>
        <w:t>上</w:t>
      </w:r>
      <w:r>
        <w:rPr>
          <w:rFonts w:hint="eastAsia" w:ascii="仿宋_GB2312" w:hAnsi="仿宋_GB2312" w:eastAsia="仿宋_GB2312" w:cs="仿宋_GB2312"/>
          <w:color w:val="auto"/>
          <w:sz w:val="32"/>
          <w:szCs w:val="32"/>
          <w:lang w:val="zh-CN"/>
        </w:rPr>
        <w:t>年相比,各减少236.23万元,下降15.33%。</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年内厉行节约，压减各项支出。</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五、一般公共预算财政拨款支出决算情况说明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320" w:firstLineChars="1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（一）一般公共预算财政拨款支出决算总体情况</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2023年度一般公共预算财政拨款支出1304.99万元,较上年决算数增加158.48万元,增长13.82%。</w:t>
      </w:r>
      <w:r>
        <w:rPr>
          <w:rFonts w:hint="eastAsia" w:ascii="仿宋_GB2312" w:hAnsi="仿宋_GB2312" w:eastAsia="仿宋_GB2312" w:cs="仿宋_GB2312"/>
          <w:color w:val="auto"/>
          <w:sz w:val="32"/>
          <w:szCs w:val="32"/>
          <w:lang w:val="zh-CN"/>
        </w:rPr>
        <w:t>主要原因是原因是上年度部分经费</w:t>
      </w:r>
      <w:r>
        <w:rPr>
          <w:rFonts w:hint="eastAsia" w:ascii="仿宋_GB2312" w:hAnsi="仿宋_GB2312" w:eastAsia="仿宋_GB2312" w:cs="仿宋_GB2312"/>
          <w:color w:val="auto"/>
          <w:sz w:val="32"/>
          <w:szCs w:val="32"/>
          <w:lang w:val="en-US" w:eastAsia="zh-CN"/>
        </w:rPr>
        <w:t>在本年列支</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当年工资调整、人员调整、发放奖励金等人员经费相对增长</w:t>
      </w:r>
      <w:bookmarkStart w:id="0" w:name="_GoBack"/>
      <w:bookmarkEnd w:id="0"/>
      <w:r>
        <w:rPr>
          <w:rFonts w:hint="eastAsia" w:ascii="仿宋_GB2312" w:hAnsi="仿宋_GB2312" w:eastAsia="仿宋_GB2312" w:cs="仿宋_GB2312"/>
          <w:color w:val="auto"/>
          <w:sz w:val="32"/>
          <w:szCs w:val="32"/>
          <w:lang w:val="en-US" w:eastAsia="zh-CN"/>
        </w:rPr>
        <w:t>。</w:t>
      </w:r>
    </w:p>
    <w:p>
      <w:pPr>
        <w:pageBreakBefore w:val="0"/>
        <w:widowControl/>
        <w:numPr>
          <w:ilvl w:val="0"/>
          <w:numId w:val="1"/>
        </w:numPr>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一般公共预算财政拨款支出决算结构情况</w:t>
      </w:r>
    </w:p>
    <w:p>
      <w:pPr>
        <w:pageBreakBefore w:val="0"/>
        <w:widowControl/>
        <w:numPr>
          <w:ilvl w:val="0"/>
          <w:numId w:val="0"/>
        </w:numPr>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w:t>
      </w:r>
      <w:r>
        <w:rPr>
          <w:rFonts w:hint="eastAsia" w:ascii="仿宋_GB2312" w:hAnsi="仿宋_GB2312" w:eastAsia="仿宋_GB2312" w:cs="仿宋_GB2312"/>
          <w:color w:val="auto"/>
          <w:sz w:val="32"/>
          <w:szCs w:val="32"/>
          <w:lang w:val="zh-CN"/>
        </w:rPr>
        <w:t>1304.99万元，主要用于以下方面：一般公共服务支出1136.41万元,占87.08%；社会保障和就业支出99.29万元,占7.61%；卫生健康支出67.46万元,占5.17%；农林水支出1.82万元,占0.14%。</w:t>
      </w:r>
    </w:p>
    <w:p>
      <w:pPr>
        <w:pageBreakBefore w:val="0"/>
        <w:widowControl/>
        <w:numPr>
          <w:ilvl w:val="0"/>
          <w:numId w:val="1"/>
        </w:numPr>
        <w:kinsoku/>
        <w:wordWrap/>
        <w:overflowPunct/>
        <w:topLinePunct w:val="0"/>
        <w:autoSpaceDE/>
        <w:autoSpaceDN/>
        <w:bidi w:val="0"/>
        <w:adjustRightInd/>
        <w:snapToGrid/>
        <w:spacing w:before="100" w:beforeLines="0" w:after="100" w:afterLines="0" w:line="600" w:lineRule="exact"/>
        <w:ind w:left="0" w:leftChars="0" w:firstLine="0" w:firstLineChars="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一般公共预算财政拨款支出决算具体情况。</w:t>
      </w:r>
    </w:p>
    <w:p>
      <w:pPr>
        <w:pageBreakBefore w:val="0"/>
        <w:widowControl/>
        <w:numPr>
          <w:ilvl w:val="0"/>
          <w:numId w:val="0"/>
        </w:numPr>
        <w:kinsoku/>
        <w:wordWrap/>
        <w:overflowPunct/>
        <w:topLinePunct w:val="0"/>
        <w:autoSpaceDE/>
        <w:autoSpaceDN/>
        <w:bidi w:val="0"/>
        <w:adjustRightInd/>
        <w:snapToGrid/>
        <w:spacing w:before="100" w:beforeLines="0" w:after="100" w:afterLines="0" w:line="600" w:lineRule="exact"/>
        <w:ind w:leftChars="0"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2023年度一般公共预算财政拨款支出年初预算为</w:t>
      </w:r>
      <w:r>
        <w:rPr>
          <w:rFonts w:hint="eastAsia" w:ascii="仿宋_GB2312" w:hAnsi="仿宋_GB2312" w:eastAsia="仿宋_GB2312" w:cs="仿宋_GB2312"/>
          <w:color w:val="auto"/>
          <w:sz w:val="32"/>
          <w:szCs w:val="32"/>
          <w:lang w:val="zh-CN"/>
        </w:rPr>
        <w:t>1425.01万元,支出决算为1304.99万元,完成年初预算的91.58%。其中：</w:t>
      </w:r>
    </w:p>
    <w:p>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color w:val="000000" w:themeColor="text1"/>
          <w:sz w:val="32"/>
          <w:szCs w:val="32"/>
          <w:lang w:val="zh-CN" w:eastAsia="zh-CN"/>
          <w14:textFill>
            <w14:solidFill>
              <w14:schemeClr w14:val="tx1"/>
            </w14:solidFill>
          </w14:textFill>
        </w:rPr>
      </w:pPr>
      <w:r>
        <w:rPr>
          <w:rFonts w:hint="eastAsia" w:ascii="仿宋_GB2312" w:hAnsi="仿宋_GB2312" w:eastAsia="仿宋_GB2312" w:cs="仿宋_GB2312"/>
          <w:b/>
          <w:color w:val="auto"/>
          <w:sz w:val="32"/>
          <w:szCs w:val="32"/>
          <w:lang w:val="zh-CN"/>
        </w:rPr>
        <w:t>1．一般公共服务支出</w:t>
      </w:r>
      <w:r>
        <w:rPr>
          <w:rFonts w:hint="eastAsia" w:ascii="仿宋_GB2312" w:hAnsi="仿宋_GB2312" w:eastAsia="仿宋_GB2312" w:cs="仿宋_GB2312"/>
          <w:color w:val="auto"/>
          <w:sz w:val="32"/>
          <w:szCs w:val="32"/>
          <w:lang w:val="zh-CN"/>
        </w:rPr>
        <w:t>年初预算数为1221.96万元,支出决算为1136.41万元,完成年初预算的93.0%,</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决算数小于预算数的主要原因是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年内人员调整</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w:t>
      </w:r>
    </w:p>
    <w:p>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2</w:t>
      </w:r>
      <w:r>
        <w:rPr>
          <w:rFonts w:hint="eastAsia" w:ascii="仿宋_GB2312" w:hAnsi="仿宋_GB2312" w:eastAsia="仿宋_GB2312" w:cs="仿宋_GB2312"/>
          <w:b/>
          <w:color w:val="auto"/>
          <w:sz w:val="32"/>
          <w:szCs w:val="32"/>
          <w:lang w:val="zh-CN"/>
        </w:rPr>
        <w:t>．社会保障和就业支出</w:t>
      </w:r>
      <w:r>
        <w:rPr>
          <w:rFonts w:hint="eastAsia" w:ascii="仿宋_GB2312" w:hAnsi="仿宋_GB2312" w:eastAsia="仿宋_GB2312" w:cs="仿宋_GB2312"/>
          <w:color w:val="auto"/>
          <w:sz w:val="32"/>
          <w:szCs w:val="32"/>
          <w:lang w:val="zh-CN"/>
        </w:rPr>
        <w:t>年初预算数为133.42万元,支出决算为99.29万元,完成年初预算的74.42%,决算数小于预</w:t>
      </w:r>
      <w:r>
        <w:rPr>
          <w:rFonts w:hint="eastAsia" w:ascii="仿宋_GB2312" w:hAnsi="仿宋_GB2312" w:eastAsia="仿宋_GB2312" w:cs="仿宋_GB2312"/>
          <w:color w:val="auto"/>
          <w:sz w:val="32"/>
          <w:szCs w:val="32"/>
          <w:lang w:val="zh-CN"/>
        </w:rPr>
        <w:t>算数的主要原因是</w:t>
      </w:r>
      <w:r>
        <w:rPr>
          <w:rFonts w:hint="eastAsia" w:ascii="仿宋_GB2312" w:hAnsi="仿宋_GB2312" w:eastAsia="仿宋_GB2312" w:cs="仿宋_GB2312"/>
          <w:color w:val="auto"/>
          <w:sz w:val="32"/>
          <w:szCs w:val="32"/>
          <w:lang w:val="en-US" w:eastAsia="zh-CN"/>
        </w:rPr>
        <w:t>年内人员调整</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．卫生健康支出</w:t>
      </w:r>
      <w:r>
        <w:rPr>
          <w:rFonts w:hint="eastAsia" w:ascii="仿宋_GB2312" w:hAnsi="仿宋_GB2312" w:eastAsia="仿宋_GB2312" w:cs="仿宋_GB2312"/>
          <w:color w:val="auto"/>
          <w:sz w:val="32"/>
          <w:szCs w:val="32"/>
          <w:lang w:val="zh-CN"/>
        </w:rPr>
        <w:t>年初预算数为67.80万元,支出决算为67.46万元,完成年初预算的99.5%,决算数小于预算数的主要原因是</w:t>
      </w:r>
      <w:r>
        <w:rPr>
          <w:rFonts w:hint="eastAsia" w:ascii="仿宋_GB2312" w:hAnsi="仿宋_GB2312" w:eastAsia="仿宋_GB2312" w:cs="仿宋_GB2312"/>
          <w:color w:val="auto"/>
          <w:sz w:val="32"/>
          <w:szCs w:val="32"/>
          <w:lang w:val="en-US" w:eastAsia="zh-CN"/>
        </w:rPr>
        <w:t>年内人员调整</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en-US" w:eastAsia="zh-CN"/>
        </w:rPr>
        <w:t>4</w:t>
      </w:r>
      <w:r>
        <w:rPr>
          <w:rFonts w:hint="eastAsia" w:ascii="仿宋_GB2312" w:hAnsi="仿宋_GB2312" w:eastAsia="仿宋_GB2312" w:cs="仿宋_GB2312"/>
          <w:b/>
          <w:color w:val="auto"/>
          <w:sz w:val="32"/>
          <w:szCs w:val="32"/>
          <w:lang w:val="zh-CN"/>
        </w:rPr>
        <w:t>．农林水支出</w:t>
      </w:r>
      <w:r>
        <w:rPr>
          <w:rFonts w:hint="eastAsia" w:ascii="仿宋_GB2312" w:hAnsi="仿宋_GB2312" w:eastAsia="仿宋_GB2312" w:cs="仿宋_GB2312"/>
          <w:color w:val="auto"/>
          <w:sz w:val="32"/>
          <w:szCs w:val="32"/>
          <w:lang w:val="zh-CN"/>
        </w:rPr>
        <w:t>年初预算数为1.82万元,支出决算为1.82万元,完成</w:t>
      </w:r>
      <w:r>
        <w:rPr>
          <w:rFonts w:hint="eastAsia" w:ascii="仿宋_GB2312" w:hAnsi="仿宋_GB2312" w:eastAsia="仿宋_GB2312" w:cs="仿宋_GB2312"/>
          <w:color w:val="auto"/>
          <w:sz w:val="32"/>
          <w:szCs w:val="32"/>
          <w:lang w:val="zh-CN"/>
        </w:rPr>
        <w:t>年初预算的100.0%。</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六、一般公共预算财政拨款基本支出决算情况说明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2023年度一般公共预算财政拨款基本支出1277.09万元。其中：</w:t>
      </w:r>
    </w:p>
    <w:p>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人员经费</w:t>
      </w:r>
      <w:r>
        <w:rPr>
          <w:rFonts w:hint="eastAsia" w:ascii="仿宋_GB2312" w:hAnsi="仿宋_GB2312" w:eastAsia="仿宋_GB2312" w:cs="仿宋_GB2312"/>
          <w:color w:val="auto"/>
          <w:sz w:val="32"/>
          <w:szCs w:val="32"/>
          <w:lang w:val="zh-CN"/>
        </w:rPr>
        <w:t>1061.94万元,较上年决算数增加169.16万元,增长18.95%,</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当年工资调整、人员调整、发放奖励金等</w:t>
      </w:r>
      <w:r>
        <w:rPr>
          <w:rFonts w:hint="eastAsia" w:ascii="仿宋_GB2312" w:hAnsi="仿宋_GB2312" w:eastAsia="仿宋_GB2312" w:cs="仿宋_GB2312"/>
          <w:color w:val="auto"/>
          <w:sz w:val="32"/>
          <w:szCs w:val="32"/>
          <w:lang w:val="zh-CN"/>
        </w:rPr>
        <w:t>。人</w:t>
      </w:r>
      <w:r>
        <w:rPr>
          <w:rFonts w:hint="eastAsia" w:ascii="仿宋_GB2312" w:hAnsi="仿宋_GB2312" w:eastAsia="仿宋_GB2312" w:cs="仿宋_GB2312"/>
          <w:color w:val="auto"/>
          <w:sz w:val="32"/>
          <w:szCs w:val="32"/>
          <w:lang w:val="zh-CN"/>
        </w:rPr>
        <w:t>员经费用途包括基本工资、津贴补贴、奖金、社会保障缴费等。</w:t>
      </w:r>
    </w:p>
    <w:p>
      <w:pPr>
        <w:spacing w:before="100" w:beforeLines="0" w:after="100" w:afterLines="0"/>
        <w:ind w:firstLine="643" w:firstLineChars="20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zh-CN"/>
        </w:rPr>
        <w:t>公用经费</w:t>
      </w:r>
      <w:r>
        <w:rPr>
          <w:rFonts w:hint="eastAsia" w:ascii="仿宋_GB2312" w:hAnsi="仿宋_GB2312" w:eastAsia="仿宋_GB2312" w:cs="仿宋_GB2312"/>
          <w:color w:val="auto"/>
          <w:sz w:val="32"/>
          <w:szCs w:val="32"/>
          <w:lang w:val="zh-CN"/>
        </w:rPr>
        <w:t>215.16万元,较上年决算数减少38.58万元,下降15.2%,</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年内厉行节约，压减各项支出</w:t>
      </w:r>
      <w:r>
        <w:rPr>
          <w:rFonts w:hint="eastAsia" w:ascii="仿宋_GB2312" w:hAnsi="仿宋_GB2312" w:eastAsia="仿宋_GB2312" w:cs="仿宋_GB2312"/>
          <w:color w:val="auto"/>
          <w:sz w:val="32"/>
          <w:szCs w:val="32"/>
          <w:lang w:val="zh-CN"/>
        </w:rPr>
        <w:t>。公用经费用途主要包括括办公费、印刷费、</w:t>
      </w:r>
      <w:r>
        <w:rPr>
          <w:rFonts w:hint="eastAsia" w:ascii="仿宋_GB2312" w:hAnsi="仿宋_GB2312" w:eastAsia="仿宋_GB2312" w:cs="仿宋_GB2312"/>
          <w:color w:val="auto"/>
          <w:sz w:val="32"/>
          <w:szCs w:val="32"/>
          <w:lang w:val="en-US" w:eastAsia="zh-CN"/>
        </w:rPr>
        <w:t>差旅费</w:t>
      </w:r>
      <w:r>
        <w:rPr>
          <w:rFonts w:hint="eastAsia" w:ascii="仿宋_GB2312" w:hAnsi="仿宋_GB2312" w:eastAsia="仿宋_GB2312" w:cs="仿宋_GB2312"/>
          <w:color w:val="auto"/>
          <w:sz w:val="32"/>
          <w:szCs w:val="32"/>
          <w:lang w:val="zh-CN"/>
        </w:rPr>
        <w:t>、手续费、水费、电费、邮电费等。</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七、政府性基金预算财政拨款收支决算情况说明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auto"/>
          <w:sz w:val="32"/>
          <w:szCs w:val="32"/>
          <w:lang w:val="zh-CN"/>
        </w:rPr>
        <w:t>本部门2023年度无政府性基金收入,也没有使用政府性基金安排的支出。</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八、国有资本经营预算财政拨款支出情况说明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color w:val="auto"/>
          <w:sz w:val="32"/>
          <w:szCs w:val="32"/>
          <w:lang w:val="zh-CN"/>
        </w:rPr>
        <w:t>本部门2023年度没有使用国有资本经营预算安排的支出。</w:t>
      </w:r>
      <w:r>
        <w:rPr>
          <w:rFonts w:hint="eastAsia" w:ascii="仿宋_GB2312" w:hAnsi="仿宋_GB2312" w:eastAsia="仿宋_GB2312" w:cs="仿宋_GB2312"/>
          <w:b/>
          <w:bCs/>
          <w:color w:val="auto"/>
          <w:sz w:val="32"/>
          <w:szCs w:val="32"/>
          <w:lang w:val="en-US" w:eastAsia="zh-CN"/>
        </w:rPr>
        <w:t>九</w:t>
      </w:r>
      <w:r>
        <w:rPr>
          <w:rFonts w:hint="eastAsia" w:ascii="仿宋_GB2312" w:hAnsi="仿宋_GB2312" w:eastAsia="仿宋_GB2312" w:cs="仿宋_GB2312"/>
          <w:b/>
          <w:bCs/>
          <w:color w:val="auto"/>
          <w:sz w:val="32"/>
          <w:szCs w:val="32"/>
          <w:lang w:val="zh-CN" w:eastAsia="zh-CN"/>
        </w:rPr>
        <w:t>、财政拨款“三公”经费支出决算情况说明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(一)“三公”经费财政拨款支出总体情况说明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2023年度“三公”经费支出</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预算数为16.19万元,支出决算为15.14万元,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减少5.65</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下降27.18</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年内严格控制</w:t>
      </w:r>
      <w:r>
        <w:rPr>
          <w:rFonts w:hint="eastAsia" w:ascii="仿宋_GB2312" w:hAnsi="仿宋_GB2312" w:eastAsia="仿宋_GB2312" w:cs="仿宋_GB2312"/>
          <w:color w:val="auto"/>
          <w:sz w:val="32"/>
          <w:szCs w:val="32"/>
          <w:lang w:val="zh-CN"/>
        </w:rPr>
        <w:t>“三公”经费</w:t>
      </w:r>
      <w:r>
        <w:rPr>
          <w:rFonts w:hint="eastAsia" w:ascii="仿宋_GB2312" w:hAnsi="仿宋_GB2312" w:eastAsia="仿宋_GB2312" w:cs="仿宋_GB2312"/>
          <w:color w:val="auto"/>
          <w:sz w:val="32"/>
          <w:szCs w:val="32"/>
          <w:lang w:val="en-US" w:eastAsia="zh-CN"/>
        </w:rPr>
        <w:t>支出，厉行节约，按照相关规定列支</w:t>
      </w:r>
      <w:r>
        <w:rPr>
          <w:rFonts w:hint="eastAsia" w:ascii="仿宋_GB2312" w:hAnsi="仿宋_GB2312" w:eastAsia="仿宋_GB2312" w:cs="仿宋_GB2312"/>
          <w:color w:val="auto"/>
          <w:sz w:val="32"/>
          <w:szCs w:val="32"/>
          <w:lang w:val="zh-CN"/>
        </w:rPr>
        <w:t>“三公”经费。</w:t>
      </w:r>
    </w:p>
    <w:p>
      <w:pPr>
        <w:pageBreakBefore w:val="0"/>
        <w:widowControl/>
        <w:numPr>
          <w:numId w:val="0"/>
        </w:numPr>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w:t>
      </w:r>
      <w:r>
        <w:rPr>
          <w:rFonts w:hint="eastAsia" w:ascii="仿宋_GB2312" w:hAnsi="仿宋_GB2312" w:eastAsia="仿宋_GB2312" w:cs="仿宋_GB2312"/>
          <w:b/>
          <w:color w:val="auto"/>
          <w:sz w:val="32"/>
          <w:szCs w:val="32"/>
          <w:lang w:val="en-US" w:eastAsia="zh-CN"/>
        </w:rPr>
        <w:t>二</w:t>
      </w:r>
      <w:r>
        <w:rPr>
          <w:rFonts w:hint="eastAsia" w:ascii="仿宋_GB2312" w:hAnsi="仿宋_GB2312" w:eastAsia="仿宋_GB2312" w:cs="仿宋_GB2312"/>
          <w:b/>
          <w:color w:val="auto"/>
          <w:sz w:val="32"/>
          <w:szCs w:val="32"/>
          <w:lang w:val="zh-CN"/>
        </w:rPr>
        <w:t>）“三公”经费财政拨款支出决算具体情况说明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1.因公出国(境)费用</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减少0.0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w:t>
      </w:r>
      <w:r>
        <w:rPr>
          <w:rFonts w:hint="eastAsia" w:ascii="仿宋_GB2312" w:hAnsi="仿宋_GB2312" w:eastAsia="仿宋_GB2312" w:cs="仿宋_GB2312"/>
          <w:color w:val="auto"/>
          <w:sz w:val="32"/>
          <w:szCs w:val="32"/>
          <w:lang w:val="en-US" w:eastAsia="zh-CN"/>
        </w:rPr>
        <w:t>降0</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2.公务用车购置及运行维护费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预算数为13.85万元,支出决算为13.51万元,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减少7.28</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下降35.04</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年内严格控制</w:t>
      </w:r>
      <w:r>
        <w:rPr>
          <w:rFonts w:hint="eastAsia" w:ascii="仿宋_GB2312" w:hAnsi="仿宋_GB2312" w:eastAsia="仿宋_GB2312" w:cs="仿宋_GB2312"/>
          <w:color w:val="auto"/>
          <w:sz w:val="32"/>
          <w:szCs w:val="32"/>
          <w:lang w:val="zh-CN"/>
        </w:rPr>
        <w:t>公务用车</w:t>
      </w:r>
      <w:r>
        <w:rPr>
          <w:rFonts w:hint="eastAsia" w:ascii="仿宋_GB2312" w:hAnsi="仿宋_GB2312" w:eastAsia="仿宋_GB2312" w:cs="仿宋_GB2312"/>
          <w:color w:val="auto"/>
          <w:sz w:val="32"/>
          <w:szCs w:val="32"/>
          <w:lang w:val="zh-CN"/>
        </w:rPr>
        <w:t>经费</w:t>
      </w:r>
      <w:r>
        <w:rPr>
          <w:rFonts w:hint="eastAsia" w:ascii="仿宋_GB2312" w:hAnsi="仿宋_GB2312" w:eastAsia="仿宋_GB2312" w:cs="仿宋_GB2312"/>
          <w:color w:val="auto"/>
          <w:sz w:val="32"/>
          <w:szCs w:val="32"/>
          <w:lang w:val="en-US" w:eastAsia="zh-CN"/>
        </w:rPr>
        <w:t>支出，厉行节约，按照相关规定列支</w:t>
      </w:r>
      <w:r>
        <w:rPr>
          <w:rFonts w:hint="eastAsia" w:ascii="仿宋_GB2312" w:hAnsi="仿宋_GB2312" w:eastAsia="仿宋_GB2312" w:cs="仿宋_GB2312"/>
          <w:color w:val="auto"/>
          <w:sz w:val="32"/>
          <w:szCs w:val="32"/>
          <w:lang w:val="zh-CN"/>
        </w:rPr>
        <w:t>公务用车</w:t>
      </w:r>
      <w:r>
        <w:rPr>
          <w:rFonts w:hint="eastAsia" w:ascii="仿宋_GB2312" w:hAnsi="仿宋_GB2312" w:eastAsia="仿宋_GB2312" w:cs="仿宋_GB2312"/>
          <w:color w:val="auto"/>
          <w:sz w:val="32"/>
          <w:szCs w:val="32"/>
          <w:lang w:val="zh-CN"/>
        </w:rPr>
        <w:t>经费</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其中：公务用车购置费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减少0.0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下降0</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公务用车运行维护费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预算数为13.85万元,支出决算为13.51万元,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减少7.28</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下降35.04</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年内严格控制</w:t>
      </w:r>
      <w:r>
        <w:rPr>
          <w:rFonts w:hint="eastAsia" w:ascii="仿宋_GB2312" w:hAnsi="仿宋_GB2312" w:eastAsia="仿宋_GB2312" w:cs="仿宋_GB2312"/>
          <w:color w:val="auto"/>
          <w:sz w:val="32"/>
          <w:szCs w:val="32"/>
          <w:lang w:val="zh-CN"/>
        </w:rPr>
        <w:t>公务用车经费</w:t>
      </w:r>
      <w:r>
        <w:rPr>
          <w:rFonts w:hint="eastAsia" w:ascii="仿宋_GB2312" w:hAnsi="仿宋_GB2312" w:eastAsia="仿宋_GB2312" w:cs="仿宋_GB2312"/>
          <w:color w:val="auto"/>
          <w:sz w:val="32"/>
          <w:szCs w:val="32"/>
          <w:lang w:val="en-US" w:eastAsia="zh-CN"/>
        </w:rPr>
        <w:t>支出，厉行节约，按照相关规定列支</w:t>
      </w:r>
      <w:r>
        <w:rPr>
          <w:rFonts w:hint="eastAsia" w:ascii="仿宋_GB2312" w:hAnsi="仿宋_GB2312" w:eastAsia="仿宋_GB2312" w:cs="仿宋_GB2312"/>
          <w:color w:val="auto"/>
          <w:sz w:val="32"/>
          <w:szCs w:val="32"/>
          <w:lang w:val="zh-CN"/>
        </w:rPr>
        <w:t>公务用车经费。</w:t>
      </w:r>
    </w:p>
    <w:p>
      <w:pPr>
        <w:pageBreakBefore w:val="0"/>
        <w:widowControl/>
        <w:numPr>
          <w:numId w:val="0"/>
        </w:numPr>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公务接待费</w:t>
      </w:r>
      <w:r>
        <w:rPr>
          <w:rFonts w:hint="eastAsia" w:ascii="仿宋_GB2312" w:hAnsi="仿宋_GB2312" w:eastAsia="仿宋_GB2312" w:cs="仿宋_GB2312"/>
          <w:color w:val="auto"/>
          <w:sz w:val="32"/>
          <w:szCs w:val="32"/>
          <w:lang w:val="en-US"/>
        </w:rPr>
        <w:t>全</w:t>
      </w:r>
      <w:r>
        <w:rPr>
          <w:rFonts w:hint="eastAsia" w:ascii="仿宋_GB2312" w:hAnsi="仿宋_GB2312" w:eastAsia="仿宋_GB2312" w:cs="仿宋_GB2312"/>
          <w:color w:val="auto"/>
          <w:sz w:val="32"/>
          <w:szCs w:val="32"/>
          <w:lang w:val="zh-CN"/>
        </w:rPr>
        <w:t>年预算数为2.34万元,支出决算为1.64万元,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增加1.64</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增长10</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上年</w:t>
      </w:r>
      <w:r>
        <w:rPr>
          <w:rFonts w:hint="eastAsia" w:ascii="仿宋_GB2312" w:hAnsi="仿宋_GB2312" w:eastAsia="仿宋_GB2312" w:cs="仿宋_GB2312"/>
          <w:color w:val="auto"/>
          <w:sz w:val="32"/>
          <w:szCs w:val="32"/>
          <w:lang w:val="zh-CN"/>
        </w:rPr>
        <w:t>公务接待费</w:t>
      </w:r>
      <w:r>
        <w:rPr>
          <w:rFonts w:hint="eastAsia" w:ascii="仿宋_GB2312" w:hAnsi="仿宋_GB2312" w:eastAsia="仿宋_GB2312" w:cs="仿宋_GB2312"/>
          <w:color w:val="auto"/>
          <w:sz w:val="32"/>
          <w:szCs w:val="32"/>
          <w:lang w:val="en-US" w:eastAsia="zh-CN"/>
        </w:rPr>
        <w:t>未在当年完成报账</w:t>
      </w:r>
      <w:r>
        <w:rPr>
          <w:rFonts w:hint="eastAsia" w:ascii="仿宋_GB2312" w:hAnsi="仿宋_GB2312" w:eastAsia="仿宋_GB2312" w:cs="仿宋_GB2312"/>
          <w:color w:val="auto"/>
          <w:sz w:val="32"/>
          <w:szCs w:val="32"/>
          <w:lang w:val="zh-CN"/>
        </w:rPr>
        <w:t>。</w:t>
      </w:r>
    </w:p>
    <w:p>
      <w:pPr>
        <w:pageBreakBefore w:val="0"/>
        <w:widowControl/>
        <w:numPr>
          <w:ilvl w:val="0"/>
          <w:numId w:val="0"/>
        </w:numPr>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themeColor="text1"/>
          <w:sz w:val="32"/>
          <w:szCs w:val="32"/>
          <w:lang w:val="zh-CN"/>
          <w14:textFill>
            <w14:solidFill>
              <w14:schemeClr w14:val="tx1"/>
            </w14:solidFill>
          </w14:textFill>
        </w:rPr>
        <w:t>外事接待费支出0.00</w:t>
      </w:r>
      <w:r>
        <w:rPr>
          <w:rFonts w:hint="eastAsia" w:ascii="仿宋_GB2312" w:hAnsi="仿宋_GB2312" w:eastAsia="仿宋_GB2312" w:cs="仿宋_GB2312"/>
          <w:color w:val="auto"/>
          <w:sz w:val="32"/>
          <w:szCs w:val="32"/>
          <w:lang w:val="zh-CN"/>
        </w:rPr>
        <w:t>万元。</w:t>
      </w:r>
    </w:p>
    <w:p>
      <w:pPr>
        <w:pageBreakBefore w:val="0"/>
        <w:widowControl/>
        <w:numPr>
          <w:ilvl w:val="0"/>
          <w:numId w:val="0"/>
        </w:numPr>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其他国内公务接待支出</w:t>
      </w:r>
      <w:r>
        <w:rPr>
          <w:rFonts w:hint="eastAsia" w:ascii="仿宋_GB2312" w:hAnsi="仿宋_GB2312" w:eastAsia="仿宋_GB2312" w:cs="仿宋_GB2312"/>
          <w:color w:val="000000" w:themeColor="text1"/>
          <w:sz w:val="32"/>
          <w:szCs w:val="32"/>
          <w:lang w:val="zh-CN"/>
          <w14:textFill>
            <w14:solidFill>
              <w14:schemeClr w14:val="tx1"/>
            </w14:solidFill>
          </w14:textFill>
        </w:rPr>
        <w:t>1.64</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zh-CN"/>
        </w:rPr>
        <w:t>主要是</w:t>
      </w:r>
      <w:r>
        <w:rPr>
          <w:rFonts w:hint="eastAsia" w:ascii="仿宋_GB2312" w:hAnsi="仿宋_GB2312" w:eastAsia="仿宋_GB2312" w:cs="仿宋_GB2312"/>
          <w:color w:val="auto"/>
          <w:sz w:val="32"/>
          <w:szCs w:val="32"/>
          <w:lang w:val="en-US" w:eastAsia="zh-CN"/>
        </w:rPr>
        <w:t>用于上级工作组来本县开展工作的正常接待支出</w:t>
      </w:r>
      <w:r>
        <w:rPr>
          <w:rFonts w:hint="eastAsia" w:ascii="仿宋_GB2312" w:hAnsi="仿宋_GB2312" w:eastAsia="仿宋_GB2312" w:cs="仿宋_GB2312"/>
          <w:color w:val="auto"/>
          <w:sz w:val="32"/>
          <w:szCs w:val="32"/>
          <w:lang w:val="zh-CN"/>
        </w:rPr>
        <w:t>。</w:t>
      </w:r>
    </w:p>
    <w:p>
      <w:pPr>
        <w:pageBreakBefore w:val="0"/>
        <w:widowControl/>
        <w:numPr>
          <w:ilvl w:val="0"/>
          <w:numId w:val="2"/>
        </w:numPr>
        <w:kinsoku/>
        <w:wordWrap/>
        <w:overflowPunct/>
        <w:topLinePunct w:val="0"/>
        <w:autoSpaceDE/>
        <w:autoSpaceDN/>
        <w:bidi w:val="0"/>
        <w:adjustRightInd/>
        <w:snapToGrid/>
        <w:spacing w:before="100" w:beforeLines="0" w:after="100" w:afterLines="0" w:line="600" w:lineRule="exact"/>
        <w:ind w:left="630" w:leftChars="0" w:firstLine="0" w:firstLineChars="0"/>
        <w:jc w:val="left"/>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“三公”经费财政拨款支出决算实物量情况</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w:t>
      </w:r>
      <w:r>
        <w:rPr>
          <w:rFonts w:hint="eastAsia" w:ascii="仿宋_GB2312" w:hAnsi="仿宋_GB2312" w:eastAsia="仿宋_GB2312" w:cs="仿宋_GB2312"/>
          <w:b/>
          <w:color w:val="auto"/>
          <w:sz w:val="32"/>
          <w:szCs w:val="32"/>
          <w:lang w:val="zh-CN"/>
        </w:rPr>
        <w:t>因公出国(境)</w:t>
      </w:r>
      <w:r>
        <w:rPr>
          <w:rFonts w:hint="eastAsia" w:ascii="仿宋_GB2312" w:hAnsi="仿宋_GB2312" w:eastAsia="仿宋_GB2312" w:cs="仿宋_GB2312"/>
          <w:color w:val="auto"/>
          <w:sz w:val="32"/>
          <w:szCs w:val="32"/>
          <w:lang w:val="zh-CN"/>
        </w:rPr>
        <w:t>共计个团组,人；</w:t>
      </w:r>
      <w:r>
        <w:rPr>
          <w:rFonts w:hint="eastAsia" w:ascii="仿宋_GB2312" w:hAnsi="仿宋_GB2312" w:eastAsia="仿宋_GB2312" w:cs="仿宋_GB2312"/>
          <w:b/>
          <w:color w:val="auto"/>
          <w:sz w:val="32"/>
          <w:szCs w:val="32"/>
          <w:lang w:val="zh-CN"/>
        </w:rPr>
        <w:t>公务用车购置</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公务用车保有量</w:t>
      </w:r>
      <w:r>
        <w:rPr>
          <w:rFonts w:hint="eastAsia" w:ascii="仿宋_GB2312" w:hAnsi="仿宋_GB2312" w:eastAsia="仿宋_GB2312" w:cs="仿宋_GB2312"/>
          <w:color w:val="auto"/>
          <w:sz w:val="32"/>
          <w:szCs w:val="32"/>
          <w:lang w:val="zh-CN"/>
        </w:rPr>
        <w:t>为2辆；</w:t>
      </w:r>
      <w:r>
        <w:rPr>
          <w:rFonts w:hint="eastAsia" w:ascii="仿宋_GB2312" w:hAnsi="仿宋_GB2312" w:eastAsia="仿宋_GB2312" w:cs="仿宋_GB2312"/>
          <w:b/>
          <w:color w:val="auto"/>
          <w:sz w:val="32"/>
          <w:szCs w:val="32"/>
          <w:lang w:val="zh-CN"/>
        </w:rPr>
        <w:t>国内公务接待</w:t>
      </w:r>
      <w:r>
        <w:rPr>
          <w:rFonts w:hint="eastAsia" w:ascii="仿宋_GB2312" w:hAnsi="仿宋_GB2312" w:eastAsia="仿宋_GB2312" w:cs="仿宋_GB2312"/>
          <w:color w:val="auto"/>
          <w:sz w:val="32"/>
          <w:szCs w:val="32"/>
          <w:lang w:val="zh-CN"/>
        </w:rPr>
        <w:t>40批次357人,其中：</w:t>
      </w:r>
      <w:r>
        <w:rPr>
          <w:rFonts w:hint="eastAsia" w:ascii="仿宋_GB2312" w:hAnsi="仿宋_GB2312" w:eastAsia="仿宋_GB2312" w:cs="仿宋_GB2312"/>
          <w:b/>
          <w:color w:val="auto"/>
          <w:sz w:val="32"/>
          <w:szCs w:val="32"/>
          <w:lang w:val="zh-CN"/>
        </w:rPr>
        <w:t>外事接待</w:t>
      </w:r>
      <w:r>
        <w:rPr>
          <w:rFonts w:hint="eastAsia" w:ascii="仿宋_GB2312" w:hAnsi="仿宋_GB2312" w:eastAsia="仿宋_GB2312" w:cs="仿宋_GB2312"/>
          <w:color w:val="auto"/>
          <w:sz w:val="32"/>
          <w:szCs w:val="32"/>
          <w:lang w:val="zh-CN"/>
        </w:rPr>
        <w:t>批次,人；</w:t>
      </w:r>
      <w:r>
        <w:rPr>
          <w:rFonts w:hint="eastAsia" w:ascii="仿宋_GB2312" w:hAnsi="仿宋_GB2312" w:eastAsia="仿宋_GB2312" w:cs="仿宋_GB2312"/>
          <w:b/>
          <w:color w:val="auto"/>
          <w:sz w:val="32"/>
          <w:szCs w:val="32"/>
          <w:lang w:val="zh-CN"/>
        </w:rPr>
        <w:t>国(境)外公务接待</w:t>
      </w:r>
      <w:r>
        <w:rPr>
          <w:rFonts w:hint="eastAsia" w:ascii="仿宋_GB2312" w:hAnsi="仿宋_GB2312" w:eastAsia="仿宋_GB2312" w:cs="仿宋_GB2312"/>
          <w:color w:val="auto"/>
          <w:sz w:val="32"/>
          <w:szCs w:val="32"/>
          <w:lang w:val="zh-CN"/>
        </w:rPr>
        <w:t>批次,人。</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w:t>
      </w:r>
      <w:r>
        <w:rPr>
          <w:rFonts w:hint="eastAsia" w:ascii="仿宋_GB2312" w:hAnsi="仿宋_GB2312" w:eastAsia="仿宋_GB2312" w:cs="仿宋_GB2312"/>
          <w:b/>
          <w:bCs/>
          <w:color w:val="auto"/>
          <w:sz w:val="32"/>
          <w:szCs w:val="32"/>
          <w:lang w:val="zh-CN" w:eastAsia="zh-CN"/>
        </w:rPr>
        <w:t>、机关运行经费支出情况说明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FF0000"/>
          <w:sz w:val="32"/>
          <w:szCs w:val="32"/>
          <w:lang w:val="en-US" w:eastAsia="zh-CN"/>
        </w:rPr>
        <w:t xml:space="preserve">    </w:t>
      </w:r>
      <w:r>
        <w:rPr>
          <w:rFonts w:hint="eastAsia" w:ascii="仿宋_GB2312" w:hAnsi="仿宋_GB2312" w:eastAsia="仿宋_GB2312" w:cs="仿宋_GB2312"/>
          <w:color w:val="auto"/>
          <w:sz w:val="32"/>
          <w:szCs w:val="32"/>
          <w:lang w:val="zh-CN"/>
        </w:rPr>
        <w:t>2023年度本部门机关运行经费支出215.16万元,机关运行经费</w:t>
      </w:r>
      <w:r>
        <w:rPr>
          <w:rFonts w:hint="eastAsia" w:ascii="仿宋_GB2312" w:hAnsi="仿宋_GB2312" w:eastAsia="仿宋_GB2312" w:cs="仿宋_GB2312"/>
          <w:color w:val="auto"/>
          <w:sz w:val="32"/>
          <w:szCs w:val="32"/>
          <w:lang w:val="zh-CN"/>
        </w:rPr>
        <w:t>主</w:t>
      </w:r>
      <w:r>
        <w:rPr>
          <w:rFonts w:hint="eastAsia" w:ascii="仿宋_GB2312" w:hAnsi="仿宋_GB2312" w:eastAsia="仿宋_GB2312" w:cs="仿宋_GB2312"/>
          <w:color w:val="auto"/>
          <w:sz w:val="32"/>
          <w:szCs w:val="32"/>
          <w:lang w:val="zh-CN"/>
        </w:rPr>
        <w:t>要用于开支于开支办公费、印刷费、邮电费、水费、差旅费、</w:t>
      </w:r>
      <w:r>
        <w:rPr>
          <w:rFonts w:hint="eastAsia" w:ascii="仿宋_GB2312" w:hAnsi="仿宋_GB2312" w:eastAsia="仿宋_GB2312" w:cs="仿宋_GB2312"/>
          <w:color w:val="auto"/>
          <w:sz w:val="32"/>
          <w:szCs w:val="32"/>
          <w:lang w:val="en-US" w:eastAsia="zh-CN"/>
        </w:rPr>
        <w:t>物业</w:t>
      </w:r>
      <w:r>
        <w:rPr>
          <w:rFonts w:hint="eastAsia" w:ascii="仿宋_GB2312" w:hAnsi="仿宋_GB2312" w:eastAsia="仿宋_GB2312" w:cs="仿宋_GB2312"/>
          <w:color w:val="auto"/>
          <w:sz w:val="32"/>
          <w:szCs w:val="32"/>
          <w:lang w:val="zh-CN"/>
        </w:rPr>
        <w:t>费等。机关运行经费较上年决</w:t>
      </w:r>
      <w:r>
        <w:rPr>
          <w:rFonts w:hint="eastAsia" w:ascii="仿宋_GB2312" w:hAnsi="仿宋_GB2312" w:eastAsia="仿宋_GB2312" w:cs="仿宋_GB2312"/>
          <w:color w:val="auto"/>
          <w:sz w:val="32"/>
          <w:szCs w:val="32"/>
          <w:lang w:val="zh-CN"/>
        </w:rPr>
        <w:t>算数减少38.58万元,下降15.</w:t>
      </w:r>
      <w:r>
        <w:rPr>
          <w:rFonts w:hint="eastAsia" w:ascii="仿宋_GB2312" w:hAnsi="仿宋_GB2312" w:eastAsia="仿宋_GB2312" w:cs="仿宋_GB2312"/>
          <w:color w:val="auto"/>
          <w:sz w:val="32"/>
          <w:szCs w:val="32"/>
          <w:lang w:val="zh-CN"/>
        </w:rPr>
        <w:t>2%,主要原因是</w:t>
      </w:r>
      <w:r>
        <w:rPr>
          <w:rFonts w:hint="eastAsia" w:ascii="仿宋_GB2312" w:hAnsi="仿宋_GB2312" w:eastAsia="仿宋_GB2312" w:cs="仿宋_GB2312"/>
          <w:color w:val="auto"/>
          <w:sz w:val="32"/>
          <w:szCs w:val="32"/>
          <w:lang w:val="en-US" w:eastAsia="zh-CN"/>
        </w:rPr>
        <w:t>年内厉行节约，压减各项支出</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auto"/>
          <w:sz w:val="32"/>
          <w:szCs w:val="32"/>
          <w:lang w:val="zh-CN"/>
        </w:rPr>
        <w:t>本年度会议费支出2.12万元,较上年决算数增加2.12万</w:t>
      </w:r>
      <w:r>
        <w:rPr>
          <w:rFonts w:hint="eastAsia" w:ascii="仿宋_GB2312" w:hAnsi="仿宋_GB2312" w:eastAsia="仿宋_GB2312" w:cs="仿宋_GB2312"/>
          <w:color w:val="auto"/>
          <w:sz w:val="32"/>
          <w:szCs w:val="32"/>
          <w:lang w:val="zh-CN"/>
        </w:rPr>
        <w:t>元,增长</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val="zh-CN" w:eastAsia="zh-CN"/>
        </w:rPr>
        <w:t>%,主要原因是</w:t>
      </w:r>
      <w:r>
        <w:rPr>
          <w:rFonts w:hint="eastAsia" w:ascii="仿宋_GB2312" w:hAnsi="仿宋_GB2312" w:eastAsia="仿宋_GB2312" w:cs="仿宋_GB2312"/>
          <w:color w:val="auto"/>
          <w:sz w:val="32"/>
          <w:szCs w:val="32"/>
          <w:lang w:val="en-US" w:eastAsia="zh-CN"/>
        </w:rPr>
        <w:t>上年会议</w:t>
      </w:r>
      <w:r>
        <w:rPr>
          <w:rFonts w:hint="eastAsia" w:ascii="仿宋_GB2312" w:hAnsi="仿宋_GB2312" w:eastAsia="仿宋_GB2312" w:cs="仿宋_GB2312"/>
          <w:color w:val="auto"/>
          <w:sz w:val="32"/>
          <w:szCs w:val="32"/>
          <w:lang w:val="zh-CN" w:eastAsia="zh-CN"/>
        </w:rPr>
        <w:t>费</w:t>
      </w:r>
      <w:r>
        <w:rPr>
          <w:rFonts w:hint="eastAsia" w:ascii="仿宋_GB2312" w:hAnsi="仿宋_GB2312" w:eastAsia="仿宋_GB2312" w:cs="仿宋_GB2312"/>
          <w:color w:val="auto"/>
          <w:sz w:val="32"/>
          <w:szCs w:val="32"/>
          <w:lang w:val="en-US" w:eastAsia="zh-CN"/>
        </w:rPr>
        <w:t>未在当年完成报账</w:t>
      </w:r>
      <w:r>
        <w:rPr>
          <w:rFonts w:hint="eastAsia" w:ascii="仿宋_GB2312" w:hAnsi="仿宋_GB2312" w:eastAsia="仿宋_GB2312" w:cs="仿宋_GB2312"/>
          <w:color w:val="FF0000"/>
          <w:sz w:val="32"/>
          <w:szCs w:val="32"/>
          <w:lang w:val="zh-CN"/>
        </w:rPr>
        <w:t>。</w:t>
      </w:r>
      <w:r>
        <w:rPr>
          <w:rFonts w:hint="eastAsia" w:ascii="仿宋_GB2312" w:hAnsi="仿宋_GB2312" w:eastAsia="仿宋_GB2312" w:cs="仿宋_GB2312"/>
          <w:color w:val="auto"/>
          <w:sz w:val="32"/>
          <w:szCs w:val="32"/>
          <w:lang w:val="zh-CN"/>
        </w:rPr>
        <w:t>本年度培训费支出9.16万元,较上年决算数增加8.58万元,增长1479.3</w:t>
      </w:r>
      <w:r>
        <w:rPr>
          <w:rFonts w:hint="eastAsia" w:ascii="仿宋_GB2312" w:hAnsi="仿宋_GB2312" w:eastAsia="仿宋_GB2312" w:cs="仿宋_GB2312"/>
          <w:color w:val="auto"/>
          <w:sz w:val="32"/>
          <w:szCs w:val="32"/>
          <w:lang w:val="zh-CN" w:eastAsia="zh-CN"/>
        </w:rPr>
        <w:t>1%,主要原因是</w:t>
      </w:r>
      <w:r>
        <w:rPr>
          <w:rFonts w:hint="eastAsia" w:ascii="仿宋_GB2312" w:hAnsi="仿宋_GB2312" w:eastAsia="仿宋_GB2312" w:cs="仿宋_GB2312"/>
          <w:color w:val="auto"/>
          <w:sz w:val="32"/>
          <w:szCs w:val="32"/>
          <w:lang w:val="en-US" w:eastAsia="zh-CN"/>
        </w:rPr>
        <w:t>上年培训</w:t>
      </w:r>
      <w:r>
        <w:rPr>
          <w:rFonts w:hint="eastAsia" w:ascii="仿宋_GB2312" w:hAnsi="仿宋_GB2312" w:eastAsia="仿宋_GB2312" w:cs="仿宋_GB2312"/>
          <w:color w:val="auto"/>
          <w:sz w:val="32"/>
          <w:szCs w:val="32"/>
          <w:lang w:val="zh-CN" w:eastAsia="zh-CN"/>
        </w:rPr>
        <w:t>费</w:t>
      </w:r>
      <w:r>
        <w:rPr>
          <w:rFonts w:hint="eastAsia" w:ascii="仿宋_GB2312" w:hAnsi="仿宋_GB2312" w:eastAsia="仿宋_GB2312" w:cs="仿宋_GB2312"/>
          <w:color w:val="auto"/>
          <w:sz w:val="32"/>
          <w:szCs w:val="32"/>
          <w:lang w:val="en-US" w:eastAsia="zh-CN"/>
        </w:rPr>
        <w:t>未在当年完成报账，当年培训规模扩大及人数增加</w:t>
      </w:r>
      <w:r>
        <w:rPr>
          <w:rFonts w:hint="eastAsia" w:ascii="仿宋_GB2312" w:hAnsi="仿宋_GB2312" w:eastAsia="仿宋_GB2312" w:cs="仿宋_GB2312"/>
          <w:color w:val="auto"/>
          <w:sz w:val="32"/>
          <w:szCs w:val="32"/>
          <w:lang w:val="zh-CN" w:eastAsia="zh-CN"/>
        </w:rPr>
        <w:t>。</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十一、政府采购支出情况说明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我单位2023年度无政府采购相关经费。</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十二</w:t>
      </w:r>
      <w:r>
        <w:rPr>
          <w:rFonts w:hint="eastAsia" w:ascii="仿宋_GB2312" w:hAnsi="仿宋_GB2312" w:eastAsia="仿宋_GB2312" w:cs="仿宋_GB2312"/>
          <w:b/>
          <w:bCs/>
          <w:color w:val="auto"/>
          <w:sz w:val="32"/>
          <w:szCs w:val="32"/>
          <w:lang w:val="zh-CN" w:eastAsia="zh-CN"/>
        </w:rPr>
        <w:t>、国有资产占用情况说明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截至2023年12月31日,本部门共有车辆2辆,其中,副部(省)级及以上领导用车0辆、主要领导干部用车0辆、机要通信用车0辆、应急保障用车0辆、执法执勤用车2辆,特种专业技术用车0辆,离退休干部用车0辆,其他用</w:t>
      </w:r>
      <w:r>
        <w:rPr>
          <w:rFonts w:hint="eastAsia" w:ascii="仿宋_GB2312" w:hAnsi="仿宋_GB2312" w:eastAsia="仿宋_GB2312" w:cs="仿宋_GB2312"/>
          <w:color w:val="auto"/>
          <w:sz w:val="32"/>
          <w:szCs w:val="32"/>
          <w:lang w:val="zh-CN"/>
        </w:rPr>
        <w:t>车0辆。单价</w:t>
      </w:r>
      <w:r>
        <w:rPr>
          <w:rFonts w:hint="eastAsia" w:ascii="仿宋_GB2312" w:hAnsi="仿宋_GB2312" w:eastAsia="仿宋_GB2312" w:cs="仿宋_GB2312"/>
          <w:color w:val="auto"/>
          <w:sz w:val="32"/>
          <w:szCs w:val="32"/>
          <w:lang w:val="zh-CN"/>
        </w:rPr>
        <w:t>100万元(含)以上设备0台(套)。</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十三、其他需要说明的情况</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FF0000"/>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color w:val="auto"/>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第四部分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预算绩效情况说明</w:t>
      </w:r>
    </w:p>
    <w:p>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一、预算绩效管理工作开展情况</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rPr>
        <w:t>根据预算绩效管理要求,本部门对</w:t>
      </w:r>
      <w:r>
        <w:rPr>
          <w:rFonts w:hint="eastAsia" w:ascii="仿宋_GB2312" w:hAnsi="仿宋_GB2312" w:eastAsia="仿宋_GB2312" w:cs="仿宋_GB2312"/>
          <w:color w:val="auto"/>
          <w:sz w:val="32"/>
          <w:szCs w:val="32"/>
          <w:lang w:val="en-US" w:eastAsia="zh-CN"/>
        </w:rPr>
        <w:t>2023</w:t>
      </w:r>
      <w:r>
        <w:rPr>
          <w:rFonts w:hint="eastAsia" w:ascii="仿宋_GB2312" w:hAnsi="仿宋_GB2312" w:eastAsia="仿宋_GB2312" w:cs="仿宋_GB2312"/>
          <w:color w:val="auto"/>
          <w:sz w:val="32"/>
          <w:szCs w:val="32"/>
          <w:lang w:val="en-US"/>
        </w:rPr>
        <w:t>年度一般公共预算项目支出全面开展绩效自评,其中,一级项目</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rPr>
        <w:t>个,二级项目</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en-US"/>
        </w:rPr>
        <w:t>个,共涉及资金</w:t>
      </w:r>
      <w:r>
        <w:rPr>
          <w:rFonts w:hint="eastAsia" w:ascii="仿宋_GB2312" w:hAnsi="仿宋_GB2312" w:eastAsia="仿宋_GB2312" w:cs="仿宋_GB2312"/>
          <w:color w:val="auto"/>
          <w:sz w:val="32"/>
          <w:szCs w:val="32"/>
          <w:lang w:val="zh-CN"/>
        </w:rPr>
        <w:t>1304.99</w:t>
      </w:r>
      <w:r>
        <w:rPr>
          <w:rFonts w:hint="eastAsia" w:ascii="仿宋_GB2312" w:hAnsi="仿宋_GB2312" w:eastAsia="仿宋_GB2312" w:cs="仿宋_GB2312"/>
          <w:color w:val="auto"/>
          <w:sz w:val="32"/>
          <w:szCs w:val="32"/>
          <w:lang w:val="en-US" w:eastAsia="zh-CN"/>
        </w:rPr>
        <w:t>万元</w:t>
      </w:r>
      <w:r>
        <w:rPr>
          <w:rFonts w:hint="eastAsia" w:ascii="仿宋_GB2312" w:hAnsi="仿宋_GB2312" w:eastAsia="仿宋_GB2312" w:cs="仿宋_GB2312"/>
          <w:color w:val="auto"/>
          <w:sz w:val="32"/>
          <w:szCs w:val="32"/>
          <w:lang w:val="en-US"/>
        </w:rPr>
        <w:t>,占一般公共预算项目支出总额的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rPr>
        <w:t>%。对202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rPr>
        <w:t>年度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个政府性基金预算项目开展绩效自评,共涉及资金</w:t>
      </w:r>
      <w:r>
        <w:rPr>
          <w:rFonts w:hint="eastAsia" w:ascii="仿宋_GB2312" w:hAnsi="仿宋_GB2312" w:eastAsia="仿宋_GB2312" w:cs="仿宋_GB2312"/>
          <w:color w:val="auto"/>
          <w:sz w:val="32"/>
          <w:szCs w:val="32"/>
          <w:lang w:val="en-US" w:eastAsia="zh-CN"/>
        </w:rPr>
        <w:t>0元</w:t>
      </w:r>
      <w:r>
        <w:rPr>
          <w:rFonts w:hint="eastAsia" w:ascii="仿宋_GB2312" w:hAnsi="仿宋_GB2312" w:eastAsia="仿宋_GB2312" w:cs="仿宋_GB2312"/>
          <w:color w:val="auto"/>
          <w:sz w:val="32"/>
          <w:szCs w:val="32"/>
          <w:lang w:val="en-US"/>
        </w:rPr>
        <w:t>,占政府性基金预算项目支出总额的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%。组织对202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rPr>
        <w:t>年度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个国有资本经营预算项目开展绩效自评,共涉及资金</w:t>
      </w:r>
      <w:r>
        <w:rPr>
          <w:rFonts w:hint="eastAsia" w:ascii="仿宋_GB2312" w:hAnsi="仿宋_GB2312" w:eastAsia="仿宋_GB2312" w:cs="仿宋_GB2312"/>
          <w:color w:val="auto"/>
          <w:sz w:val="32"/>
          <w:szCs w:val="32"/>
          <w:lang w:val="en-US" w:eastAsia="zh-CN"/>
        </w:rPr>
        <w:t>0元</w:t>
      </w:r>
      <w:r>
        <w:rPr>
          <w:rFonts w:hint="eastAsia" w:ascii="仿宋_GB2312" w:hAnsi="仿宋_GB2312" w:eastAsia="仿宋_GB2312" w:cs="仿宋_GB2312"/>
          <w:color w:val="auto"/>
          <w:sz w:val="32"/>
          <w:szCs w:val="32"/>
          <w:lang w:val="en-US"/>
        </w:rPr>
        <w:t>,占国有资本经营预算项目支出总额的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%。从评价情况来看,</w:t>
      </w:r>
      <w:r>
        <w:rPr>
          <w:rFonts w:hint="eastAsia" w:ascii="仿宋_GB2312" w:hAnsi="仿宋_GB2312" w:eastAsia="仿宋_GB2312" w:cs="仿宋_GB2312"/>
          <w:color w:val="auto"/>
          <w:sz w:val="32"/>
          <w:szCs w:val="32"/>
          <w:lang w:val="en-US" w:eastAsia="zh-CN"/>
        </w:rPr>
        <w:t>较好的完成了年初设定的绩效目标，一般公共预算整体支出自评得分为“优”。</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二、绩效自评结果</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我部门在2023年度部门决算中反映乡镇纪检监察人员纪检津贴、巡察经费、督查经费、办案经费等4个项目绩效自评结果。</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整体</w:t>
      </w:r>
      <w:r>
        <w:rPr>
          <w:rFonts w:hint="eastAsia" w:ascii="仿宋_GB2312" w:hAnsi="仿宋_GB2312" w:eastAsia="仿宋_GB2312" w:cs="仿宋_GB2312"/>
          <w:color w:val="auto"/>
          <w:sz w:val="32"/>
          <w:szCs w:val="32"/>
          <w:lang w:val="en-US"/>
        </w:rPr>
        <w:t>绩效自评情况：根据年初设定的绩效目标,</w:t>
      </w:r>
      <w:r>
        <w:rPr>
          <w:rFonts w:hint="eastAsia" w:ascii="仿宋_GB2312" w:hAnsi="仿宋_GB2312" w:eastAsia="仿宋_GB2312" w:cs="仿宋_GB2312"/>
          <w:color w:val="auto"/>
          <w:sz w:val="32"/>
          <w:szCs w:val="32"/>
          <w:lang w:val="en-US" w:eastAsia="zh-CN"/>
        </w:rPr>
        <w:t>整体</w:t>
      </w:r>
      <w:r>
        <w:rPr>
          <w:rFonts w:hint="eastAsia" w:ascii="仿宋_GB2312" w:hAnsi="仿宋_GB2312" w:eastAsia="仿宋_GB2312" w:cs="仿宋_GB2312"/>
          <w:color w:val="auto"/>
          <w:sz w:val="32"/>
          <w:szCs w:val="32"/>
          <w:lang w:val="en-US"/>
        </w:rPr>
        <w:t>绩效自评得分为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rPr>
        <w:t>分。全年预算数为</w:t>
      </w:r>
      <w:r>
        <w:rPr>
          <w:rFonts w:hint="eastAsia" w:ascii="仿宋_GB2312" w:hAnsi="仿宋_GB2312" w:eastAsia="仿宋_GB2312" w:cs="仿宋_GB2312"/>
          <w:color w:val="auto"/>
          <w:sz w:val="32"/>
          <w:szCs w:val="32"/>
          <w:lang w:val="zh-CN"/>
        </w:rPr>
        <w:t>1304.99</w:t>
      </w:r>
      <w:r>
        <w:rPr>
          <w:rFonts w:hint="eastAsia" w:ascii="仿宋_GB2312" w:hAnsi="仿宋_GB2312" w:eastAsia="仿宋_GB2312" w:cs="仿宋_GB2312"/>
          <w:color w:val="auto"/>
          <w:sz w:val="32"/>
          <w:szCs w:val="32"/>
          <w:lang w:val="en-US" w:eastAsia="zh-CN"/>
        </w:rPr>
        <w:t>元</w:t>
      </w:r>
      <w:r>
        <w:rPr>
          <w:rFonts w:hint="eastAsia" w:ascii="仿宋_GB2312" w:hAnsi="仿宋_GB2312" w:eastAsia="仿宋_GB2312" w:cs="仿宋_GB2312"/>
          <w:color w:val="auto"/>
          <w:sz w:val="32"/>
          <w:szCs w:val="32"/>
          <w:lang w:val="en-US"/>
        </w:rPr>
        <w:t>,执行数为</w:t>
      </w:r>
      <w:r>
        <w:rPr>
          <w:rFonts w:hint="eastAsia" w:ascii="仿宋_GB2312" w:hAnsi="仿宋_GB2312" w:eastAsia="仿宋_GB2312" w:cs="仿宋_GB2312"/>
          <w:color w:val="auto"/>
          <w:sz w:val="32"/>
          <w:szCs w:val="32"/>
          <w:lang w:val="zh-CN"/>
        </w:rPr>
        <w:t>1304.99</w:t>
      </w:r>
      <w:r>
        <w:rPr>
          <w:rFonts w:hint="eastAsia" w:ascii="仿宋_GB2312" w:hAnsi="仿宋_GB2312" w:eastAsia="仿宋_GB2312" w:cs="仿宋_GB2312"/>
          <w:color w:val="auto"/>
          <w:sz w:val="32"/>
          <w:szCs w:val="32"/>
          <w:lang w:val="en-US" w:eastAsia="zh-CN"/>
        </w:rPr>
        <w:t>元</w:t>
      </w:r>
      <w:r>
        <w:rPr>
          <w:rFonts w:hint="eastAsia" w:ascii="仿宋_GB2312" w:hAnsi="仿宋_GB2312" w:eastAsia="仿宋_GB2312" w:cs="仿宋_GB2312"/>
          <w:color w:val="auto"/>
          <w:sz w:val="32"/>
          <w:szCs w:val="32"/>
          <w:lang w:val="en-US"/>
        </w:rPr>
        <w:t>,完成预算的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rPr>
        <w:t>%。绩效目标完成情况：</w:t>
      </w:r>
      <w:r>
        <w:rPr>
          <w:rFonts w:hint="eastAsia" w:ascii="仿宋_GB2312" w:hAnsi="仿宋_GB2312" w:eastAsia="仿宋_GB2312" w:cs="仿宋_GB2312"/>
          <w:color w:val="auto"/>
          <w:sz w:val="32"/>
          <w:szCs w:val="32"/>
          <w:lang w:val="en-US" w:eastAsia="zh-CN"/>
        </w:rPr>
        <w:t>一是</w:t>
      </w:r>
      <w:r>
        <w:rPr>
          <w:rFonts w:hint="eastAsia" w:ascii="仿宋_GB2312" w:hAnsi="仿宋_GB2312" w:eastAsia="仿宋_GB2312" w:cs="仿宋_GB2312"/>
          <w:color w:val="auto"/>
          <w:sz w:val="32"/>
          <w:szCs w:val="32"/>
          <w:lang w:val="en-US"/>
        </w:rPr>
        <w:t>坚持以习近平新时代中国特色社会主义思想为指导，全面贯彻党的二十大和二十届二中全会精神，坚决落实二十届中央纪委三次全会和十四届省纪委三次全会、五届市纪委四次全会和十八届县委十一次全会工作部署，坚持稳中求进工作总基调，巩固拓展主题教育和教育整顿成果，推动健全全面从严治党体系，纵深推进党风廉政建设和反腐败斗争，为中国式现代化华池县域实践提供坚强保障</w:t>
      </w:r>
      <w:r>
        <w:rPr>
          <w:rFonts w:hint="eastAsia" w:ascii="仿宋_GB2312" w:hAnsi="仿宋_GB2312" w:eastAsia="仿宋_GB2312" w:cs="仿宋_GB2312"/>
          <w:color w:val="auto"/>
          <w:sz w:val="32"/>
          <w:szCs w:val="32"/>
          <w:lang w:val="en-US" w:eastAsia="zh-CN"/>
        </w:rPr>
        <w:t>；二是规范财务管理,合理安排支出，保障部门工作正常运转；三是顺利完成办案、督查、巡察等重点工作任务。</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rPr>
        <w:t>发现的主要问题及原因：</w:t>
      </w:r>
      <w:r>
        <w:rPr>
          <w:rFonts w:hint="eastAsia" w:ascii="仿宋_GB2312" w:hAnsi="仿宋_GB2312" w:eastAsia="仿宋_GB2312" w:cs="仿宋_GB2312"/>
          <w:color w:val="auto"/>
          <w:sz w:val="32"/>
          <w:szCs w:val="32"/>
          <w:lang w:val="en-US" w:eastAsia="zh-CN"/>
        </w:rPr>
        <w:t>单位整体支出绩效指标设置不够合理，还需进一步优化</w:t>
      </w:r>
      <w:r>
        <w:rPr>
          <w:rFonts w:hint="eastAsia" w:ascii="仿宋_GB2312" w:hAnsi="仿宋_GB2312" w:eastAsia="仿宋_GB2312" w:cs="仿宋_GB2312"/>
          <w:color w:val="auto"/>
          <w:sz w:val="32"/>
          <w:szCs w:val="32"/>
          <w:lang w:val="en-US"/>
        </w:rPr>
        <w:t>。下一步改进措施：</w:t>
      </w:r>
      <w:r>
        <w:rPr>
          <w:rFonts w:hint="eastAsia" w:ascii="仿宋_GB2312" w:hAnsi="仿宋_GB2312" w:eastAsia="仿宋_GB2312" w:cs="仿宋_GB2312"/>
          <w:color w:val="auto"/>
          <w:sz w:val="32"/>
          <w:szCs w:val="32"/>
          <w:lang w:val="en-US" w:eastAsia="zh-CN"/>
        </w:rPr>
        <w:t>按照《县级预算绩效管理办法》相关要求，进一步加强预算绩效管理</w:t>
      </w:r>
      <w:r>
        <w:rPr>
          <w:rFonts w:hint="eastAsia" w:ascii="仿宋_GB2312" w:hAnsi="仿宋_GB2312" w:eastAsia="仿宋_GB2312" w:cs="仿宋_GB2312"/>
          <w:color w:val="auto"/>
          <w:sz w:val="32"/>
          <w:szCs w:val="32"/>
          <w:lang w:val="en-US"/>
        </w:rPr>
        <w:t>。</w:t>
      </w:r>
    </w:p>
    <w:p>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三、部门绩效评价结果</w:t>
      </w:r>
    </w:p>
    <w:p>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一般公共预算整体支出绩效评价结果：根据年初设定的绩效目标，一般公共预算整体支出自评得分为“优”。</w:t>
      </w:r>
    </w:p>
    <w:p>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第五部分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名词解释</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一、财政拨款收入</w:t>
      </w:r>
      <w:r>
        <w:rPr>
          <w:rFonts w:hint="eastAsia" w:ascii="仿宋_GB2312" w:hAnsi="仿宋_GB2312" w:eastAsia="仿宋_GB2312" w:cs="仿宋_GB2312"/>
          <w:color w:val="auto"/>
          <w:sz w:val="32"/>
          <w:szCs w:val="32"/>
          <w:lang w:val="zh-CN"/>
        </w:rPr>
        <w:t>：指本年度从同级财政部门取得的财政拨款,包括一般公共预算财政拨款、政府性基金预算财政拨款和国有资本经营预算财政拨款。</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：指事业单位开展专业业务活动及其辅助活动取得的收入。</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：指事业单位在专业业务活动及其辅助活动之外开展非独立核算经营活动取得的收入。</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四、其他收入</w:t>
      </w:r>
      <w:r>
        <w:rPr>
          <w:rFonts w:hint="eastAsia" w:ascii="仿宋_GB2312" w:hAnsi="仿宋_GB2312" w:eastAsia="仿宋_GB2312" w:cs="仿宋_GB2312"/>
          <w:color w:val="auto"/>
          <w:sz w:val="32"/>
          <w:szCs w:val="32"/>
          <w:lang w:val="zh-CN"/>
        </w:rPr>
        <w:t>：指除上述“财政拨款收入”“事业收入”、“经营收入”以外的收入。</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bCs/>
          <w:color w:val="auto"/>
          <w:sz w:val="32"/>
          <w:szCs w:val="32"/>
          <w:lang w:val="zh-CN"/>
        </w:rPr>
        <w:t>五、使用非财政拨款结余（含专用结余）：</w:t>
      </w:r>
      <w:r>
        <w:rPr>
          <w:rFonts w:hint="eastAsia" w:ascii="仿宋_GB2312" w:hAnsi="仿宋_GB2312" w:eastAsia="仿宋_GB2312" w:cs="仿宋_GB2312"/>
          <w:b w:val="0"/>
          <w:bCs w:val="0"/>
          <w:color w:val="auto"/>
          <w:sz w:val="32"/>
          <w:szCs w:val="32"/>
          <w:lang w:val="zh-CN"/>
        </w:rPr>
        <w:t>指事业单位按照预算管理要求使用非财政拨款结余弥补收支差额的金额，以及使用专用结余安排支出的金额。</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六、年初结转和结余</w:t>
      </w:r>
      <w:r>
        <w:rPr>
          <w:rFonts w:hint="eastAsia" w:ascii="仿宋_GB2312" w:hAnsi="仿宋_GB2312" w:eastAsia="仿宋_GB2312" w:cs="仿宋_GB2312"/>
          <w:color w:val="auto"/>
          <w:sz w:val="32"/>
          <w:szCs w:val="32"/>
          <w:lang w:val="zh-CN"/>
        </w:rPr>
        <w:t>：指单位上年结转至本年使用的基本支出结转、项目支出结转和结余、经营结余。</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七、结余分配</w:t>
      </w:r>
      <w:r>
        <w:rPr>
          <w:rFonts w:hint="eastAsia" w:ascii="仿宋_GB2312" w:hAnsi="仿宋_GB2312" w:eastAsia="仿宋_GB2312" w:cs="仿宋_GB2312"/>
          <w:color w:val="auto"/>
          <w:sz w:val="32"/>
          <w:szCs w:val="32"/>
          <w:lang w:val="zh-CN"/>
        </w:rPr>
        <w:t>：指单位按照会计制度规定缴纳的所得税、提取的专用结余以及转入非财政拨款结余的金额等。</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八、年末结转和结余</w:t>
      </w:r>
      <w:r>
        <w:rPr>
          <w:rFonts w:hint="eastAsia" w:ascii="仿宋_GB2312" w:hAnsi="仿宋_GB2312" w:eastAsia="仿宋_GB2312" w:cs="仿宋_GB2312"/>
          <w:color w:val="auto"/>
          <w:sz w:val="32"/>
          <w:szCs w:val="32"/>
          <w:lang w:val="zh-CN"/>
        </w:rPr>
        <w:t>：指单位按有关规定结转到下年的基本支出结转、项目支出结转和结余、经营结余。</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九、基本支出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十、项目支出</w:t>
      </w:r>
      <w:r>
        <w:rPr>
          <w:rFonts w:hint="eastAsia" w:ascii="仿宋_GB2312" w:hAnsi="仿宋_GB2312" w:eastAsia="仿宋_GB2312" w:cs="仿宋_GB2312"/>
          <w:color w:val="auto"/>
          <w:sz w:val="32"/>
          <w:szCs w:val="32"/>
          <w:lang w:val="zh-CN"/>
        </w:rPr>
        <w:t>：指在基本支出之外为完成特定行政任务或事业发展目标所发生的支出。</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十一、经营支出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十二、“三公”经费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十三、机关运行经费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zh-CN"/>
        </w:rPr>
        <w:t>反映机关事业单位实施养老保险制度由单位缴纳的基本养老保险支出。</w:t>
      </w:r>
    </w:p>
    <w:p>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ind w:left="630"/>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3YWViYmY5NzE5YzVhMjA2ODhlMjUzZGM3YTlhYTEifQ=="/>
  </w:docVars>
  <w:rsids>
    <w:rsidRoot w:val="00000000"/>
    <w:rsid w:val="08946CD7"/>
    <w:rsid w:val="1359740E"/>
    <w:rsid w:val="2C732934"/>
    <w:rsid w:val="2F811DFD"/>
    <w:rsid w:val="3F5A24F0"/>
    <w:rsid w:val="6AA119D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b21558f4-1fca-4077-8ce3-a8ef053747bf}">
  <ds:schemaRefs/>
</ds:datastoreItem>
</file>

<file path=customXml/itemProps2.xml><?xml version="1.0" encoding="utf-8"?>
<ds:datastoreItem xmlns:ds="http://schemas.openxmlformats.org/officeDocument/2006/customXml" ds:itemID="{37a76d37-fdf5-44f0-8f21-1e32acd5c4cb}">
  <ds:schemaRefs/>
</ds:datastoreItem>
</file>

<file path=customXml/itemProps3.xml><?xml version="1.0" encoding="utf-8"?>
<ds:datastoreItem xmlns:ds="http://schemas.openxmlformats.org/officeDocument/2006/customXml" ds:itemID="{ef386183-5ba5-4025-abbc-841c4cc2831b}">
  <ds:schemaRefs/>
</ds:datastoreItem>
</file>

<file path=customXml/itemProps4.xml><?xml version="1.0" encoding="utf-8"?>
<ds:datastoreItem xmlns:ds="http://schemas.openxmlformats.org/officeDocument/2006/customXml" ds:itemID="{2c4b8085-2707-4a4f-87c4-24d9c67f3c2d}">
  <ds:schemaRefs/>
</ds:datastoreItem>
</file>

<file path=customXml/itemProps5.xml><?xml version="1.0" encoding="utf-8"?>
<ds:datastoreItem xmlns:ds="http://schemas.openxmlformats.org/officeDocument/2006/customXml" ds:itemID="{c4b067e0-933f-4a35-8c21-5479fd454e15}">
  <ds:schemaRefs/>
</ds:datastoreItem>
</file>

<file path=customXml/itemProps6.xml><?xml version="1.0" encoding="utf-8"?>
<ds:datastoreItem xmlns:ds="http://schemas.openxmlformats.org/officeDocument/2006/customXml" ds:itemID="{4f15cdbe-9e70-4495-aece-386d10e48cca}">
  <ds:schemaRefs/>
</ds:datastoreItem>
</file>

<file path=customXml/itemProps7.xml><?xml version="1.0" encoding="utf-8"?>
<ds:datastoreItem xmlns:ds="http://schemas.openxmlformats.org/officeDocument/2006/customXml" ds:itemID="{13c16018-3eb5-4bf6-b44b-f7125aaec754}">
  <ds:schemaRefs/>
</ds:datastoreItem>
</file>

<file path=customXml/itemProps8.xml><?xml version="1.0" encoding="utf-8"?>
<ds:datastoreItem xmlns:ds="http://schemas.openxmlformats.org/officeDocument/2006/customXml" ds:itemID="{b4ae096a-338c-4e16-ac9f-2664d7bbf500}">
  <ds:schemaRefs/>
</ds:datastoreItem>
</file>

<file path=customXml/itemProps9.xml><?xml version="1.0" encoding="utf-8"?>
<ds:datastoreItem xmlns:ds="http://schemas.openxmlformats.org/officeDocument/2006/customXml" ds:itemID="{8478da08-0ab7-44b6-9fef-3e7d3f48c0e6}">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3</TotalTime>
  <ScaleCrop>false</ScaleCrop>
  <LinksUpToDate>false</LinksUpToDate>
  <CharactersWithSpaces>19293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我是大石头</cp:lastModifiedBy>
  <dcterms:modified xsi:type="dcterms:W3CDTF">2024-09-20T02:44:36Z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E06D266F13EA4024808CEEADBAD91186_11</vt:lpwstr>
  </property>
</Properties>
</file>