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1CBC5">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5AF66665">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1059ADB8">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2478B7C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1751A563">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44F8572F">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6470F560">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eastAsia="宋体" w:cs="宋体"/>
          <w:sz w:val="44"/>
          <w:szCs w:val="44"/>
          <w:lang w:val="zh-CN"/>
        </w:rPr>
      </w:pPr>
      <w:r>
        <w:rPr>
          <w:rFonts w:hint="eastAsia" w:ascii="宋体" w:hAnsi="宋体" w:eastAsia="宋体" w:cs="宋体"/>
          <w:sz w:val="44"/>
          <w:szCs w:val="44"/>
          <w:lang w:val="zh-CN"/>
        </w:rPr>
        <w:t>2023年度</w:t>
      </w:r>
    </w:p>
    <w:p w14:paraId="32C2CF4E">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eastAsia="宋体" w:cs="宋体"/>
          <w:sz w:val="44"/>
          <w:szCs w:val="44"/>
          <w:lang w:val="zh-CN"/>
        </w:rPr>
      </w:pPr>
      <w:r>
        <w:rPr>
          <w:rFonts w:hint="eastAsia" w:ascii="宋体" w:hAnsi="宋体" w:eastAsia="宋体" w:cs="宋体"/>
          <w:sz w:val="44"/>
          <w:szCs w:val="44"/>
          <w:lang w:val="zh-CN"/>
        </w:rPr>
        <w:t>华池县社会保险事业管理中心部门决算</w:t>
      </w:r>
    </w:p>
    <w:p w14:paraId="272F2130">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15263162">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68692E32">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755B7663">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0519236D">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3008CA8A">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18E62C31">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3DA166A8">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1717C9C5">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25FEEB7E">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5E6447D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2B097FEC">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宋体" w:hAnsi="宋体" w:eastAsia="宋体" w:cs="宋体"/>
          <w:sz w:val="44"/>
          <w:szCs w:val="44"/>
          <w:lang w:val="zh-CN"/>
        </w:rPr>
      </w:pPr>
      <w:r>
        <w:rPr>
          <w:rFonts w:hint="eastAsia" w:ascii="宋体" w:hAnsi="宋体" w:eastAsia="宋体" w:cs="宋体"/>
          <w:b/>
          <w:sz w:val="44"/>
          <w:szCs w:val="44"/>
          <w:lang w:val="zh-CN"/>
        </w:rPr>
        <w:t>目</w:t>
      </w: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lang w:val="zh-CN"/>
        </w:rPr>
        <w:t>录</w:t>
      </w:r>
    </w:p>
    <w:p w14:paraId="2E5B5176">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0441B7C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7A3CA4E7">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4571F5E1">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674166FE">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66E9556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53BAE19E">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2622EAA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750C2613">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326ACA6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69A41584">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03DC56A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35B32D5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43753EB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59EED419">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7A4B027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467F7837">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484BA4F1">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4184F048">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17739F3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3B24493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29CA2B33">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617E057E">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7116817E">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12DBC9CA">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1886E2CA">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4BB491DF">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4272BA86">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2E5EE85F">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6A23EB30">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5F1F1F8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2B042CF6">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75CBAF98">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645E5E98">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57DA814A">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761D0D6A">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sz w:val="32"/>
          <w:szCs w:val="32"/>
          <w:lang w:val="zh-CN"/>
        </w:rPr>
      </w:pPr>
    </w:p>
    <w:p w14:paraId="2BEF7251">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p>
    <w:p w14:paraId="503651CC">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716F69FD">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27A7789F">
      <w:pPr>
        <w:pStyle w:val="2"/>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val="0"/>
          <w:i w:val="0"/>
          <w:caps w:val="0"/>
          <w:color w:val="000000" w:themeColor="text1"/>
          <w:spacing w:val="0"/>
          <w:sz w:val="32"/>
          <w:szCs w:val="32"/>
          <w:lang w:val="en-US" w:eastAsia="zh-CN"/>
          <w14:textFill>
            <w14:solidFill>
              <w14:schemeClr w14:val="tx1"/>
            </w14:solidFill>
          </w14:textFill>
        </w:rPr>
        <w:t>华池县社会保险事业管理中心</w:t>
      </w:r>
      <w:r>
        <w:rPr>
          <w:rFonts w:hint="eastAsia" w:ascii="仿宋_GB2312" w:hAnsi="仿宋_GB2312" w:eastAsia="仿宋_GB2312" w:cs="仿宋_GB2312"/>
          <w:color w:val="000000" w:themeColor="text1"/>
          <w:sz w:val="32"/>
          <w:szCs w:val="32"/>
          <w14:textFill>
            <w14:solidFill>
              <w14:schemeClr w14:val="tx1"/>
            </w14:solidFill>
          </w14:textFill>
        </w:rPr>
        <w:t>是</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全县养老、失业、工伤保险</w:t>
      </w:r>
      <w:r>
        <w:rPr>
          <w:rFonts w:hint="eastAsia" w:ascii="仿宋_GB2312" w:hAnsi="仿宋_GB2312" w:eastAsia="仿宋_GB2312" w:cs="仿宋_GB2312"/>
          <w:color w:val="000000" w:themeColor="text1"/>
          <w:sz w:val="32"/>
          <w:szCs w:val="32"/>
          <w14:textFill>
            <w14:solidFill>
              <w14:schemeClr w14:val="tx1"/>
            </w14:solidFill>
          </w14:textFill>
        </w:rPr>
        <w:t>等工作的职能</w:t>
      </w:r>
      <w:r>
        <w:rPr>
          <w:rFonts w:hint="eastAsia" w:ascii="仿宋_GB2312" w:hAnsi="仿宋_GB2312" w:eastAsia="仿宋_GB2312" w:cs="仿宋_GB2312"/>
          <w:color w:val="000000" w:themeColor="text1"/>
          <w:sz w:val="32"/>
          <w:szCs w:val="32"/>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14:textFill>
            <w14:solidFill>
              <w14:schemeClr w14:val="tx1"/>
            </w14:solidFill>
          </w14:textFill>
        </w:rPr>
        <w:t>。主要职责是</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承办全县养老、失业、工伤保险业务</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各项社会保险基金的征收、管理和发放工作，确保基金的增值</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负责建立和完善社会统筹、个人账户、档案等</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p>
    <w:p w14:paraId="291A26EF">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14:paraId="69FE534D">
      <w:pPr>
        <w:pStyle w:val="2"/>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（1）机关内设机构</w:t>
      </w:r>
    </w:p>
    <w:p w14:paraId="7C9CE972">
      <w:pPr>
        <w:pStyle w:val="2"/>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华池县社会保险事业管理中心内设机构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个股室，人秘股、</w:t>
      </w:r>
      <w:r>
        <w:rPr>
          <w:rFonts w:hint="eastAsia" w:ascii="仿宋_GB2312" w:hAnsi="仿宋_GB2312" w:eastAsia="仿宋_GB2312" w:cs="仿宋_GB2312"/>
          <w:color w:val="000000" w:themeColor="text1"/>
          <w:sz w:val="32"/>
          <w:szCs w:val="32"/>
          <w:lang w:eastAsia="zh-CN"/>
          <w14:textFill>
            <w14:solidFill>
              <w14:schemeClr w14:val="tx1"/>
            </w14:solidFill>
          </w14:textFill>
        </w:rPr>
        <w:t>核定股、待遇股、机关养老股、基金股、稽核股</w:t>
      </w:r>
      <w:r>
        <w:rPr>
          <w:rFonts w:hint="eastAsia" w:ascii="仿宋_GB2312" w:hAnsi="仿宋_GB2312" w:eastAsia="仿宋_GB2312" w:cs="仿宋_GB2312"/>
          <w:color w:val="000000" w:themeColor="text1"/>
          <w:sz w:val="32"/>
          <w:szCs w:val="32"/>
          <w14:textFill>
            <w14:solidFill>
              <w14:schemeClr w14:val="tx1"/>
            </w14:solidFill>
          </w14:textFill>
        </w:rPr>
        <w:t>。</w:t>
      </w:r>
    </w:p>
    <w:p w14:paraId="7A7B49B8">
      <w:pPr>
        <w:pStyle w:val="2"/>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人员情况</w:t>
      </w:r>
    </w:p>
    <w:p w14:paraId="5646F179">
      <w:pPr>
        <w:pStyle w:val="2"/>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我单位共有编制14</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个</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，均为事业编制。</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年末实有</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在职人员</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25</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人，遗属</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人。</w:t>
      </w:r>
    </w:p>
    <w:p w14:paraId="0E82198B">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第二部分2023年度部门决算表</w:t>
      </w:r>
      <w:r>
        <w:rPr>
          <w:rFonts w:hint="eastAsia" w:ascii="仿宋_GB2312" w:hAnsi="仿宋_GB2312" w:eastAsia="仿宋_GB2312" w:cs="仿宋_GB2312"/>
          <w:b/>
          <w:color w:val="auto"/>
          <w:sz w:val="32"/>
          <w:szCs w:val="32"/>
          <w:lang w:val="en-US" w:eastAsia="zh-CN"/>
        </w:rPr>
        <w:t>(见附件）</w:t>
      </w:r>
    </w:p>
    <w:p w14:paraId="6DA20F09">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4C028BDB">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4ABA8236">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5E519A84">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0CBA8FB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20DB6B3E">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0C5248EB">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七、政府性基金预算财政拨款收入支出决算表（此表无数据）</w:t>
      </w:r>
    </w:p>
    <w:p w14:paraId="6CA5BA99">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6634A6B8">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26CDA9F1">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7D7CD3A6">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14:paraId="2193B9B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7109.66万元。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增加5623.47万元,增长378.38%</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,主要原因是当年机关事业单位养老保险基金的补助增加。</w:t>
      </w:r>
    </w:p>
    <w:p w14:paraId="05293B87">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14:paraId="031FC255">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2023年度收入合计7109.</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lang w:val="zh-CN"/>
        </w:rPr>
        <w:t>6万元,均为财政拨款收入。</w:t>
      </w:r>
    </w:p>
    <w:p w14:paraId="03DE4C5B">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14:paraId="44E61392">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2023年度支出合计7109.66万元,其中：基本支出</w:t>
      </w:r>
      <w:bookmarkStart w:id="0" w:name="_GoBack"/>
      <w:bookmarkEnd w:id="0"/>
      <w:r>
        <w:rPr>
          <w:rFonts w:hint="eastAsia" w:ascii="仿宋_GB2312" w:hAnsi="仿宋_GB2312" w:eastAsia="仿宋_GB2312" w:cs="仿宋_GB2312"/>
          <w:color w:val="auto"/>
          <w:sz w:val="32"/>
          <w:szCs w:val="32"/>
          <w:lang w:val="zh-CN"/>
        </w:rPr>
        <w:t>5966.57万元,占83.92%；项目支出1143.08万元,占16.08%。</w:t>
      </w:r>
    </w:p>
    <w:p w14:paraId="6659E08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14:paraId="00BFAFA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7</w:t>
      </w:r>
      <w:r>
        <w:rPr>
          <w:rFonts w:hint="eastAsia" w:ascii="仿宋_GB2312" w:hAnsi="仿宋_GB2312" w:eastAsia="仿宋_GB2312" w:cs="仿宋_GB2312"/>
          <w:color w:val="000000" w:themeColor="text1"/>
          <w:sz w:val="32"/>
          <w:szCs w:val="32"/>
          <w:lang w:val="zh-CN"/>
          <w14:textFill>
            <w14:solidFill>
              <w14:schemeClr w14:val="tx1"/>
            </w14:solidFill>
          </w14:textFill>
        </w:rPr>
        <w:t>109.66万元。与</w:t>
      </w:r>
      <w:r>
        <w:rPr>
          <w:rFonts w:hint="eastAsia" w:ascii="仿宋_GB2312" w:hAnsi="仿宋_GB2312" w:eastAsia="仿宋_GB2312" w:cs="仿宋_GB2312"/>
          <w:color w:val="000000" w:themeColor="text1"/>
          <w:sz w:val="32"/>
          <w:szCs w:val="32"/>
          <w:lang w:val="en-US"/>
          <w14:textFill>
            <w14:solidFill>
              <w14:schemeClr w14:val="tx1"/>
            </w14:solidFill>
          </w14:textFill>
        </w:rPr>
        <w:t>上</w:t>
      </w:r>
      <w:r>
        <w:rPr>
          <w:rFonts w:hint="eastAsia" w:ascii="仿宋_GB2312" w:hAnsi="仿宋_GB2312" w:eastAsia="仿宋_GB2312" w:cs="仿宋_GB2312"/>
          <w:color w:val="000000" w:themeColor="text1"/>
          <w:sz w:val="32"/>
          <w:szCs w:val="32"/>
          <w:lang w:val="zh-CN"/>
          <w14:textFill>
            <w14:solidFill>
              <w14:schemeClr w14:val="tx1"/>
            </w14:solidFill>
          </w14:textFill>
        </w:rPr>
        <w:t>年相比,各增加5623.48万元,增长378.38%。主要原因是当年机关事业单位养老保险基金的补助增加。</w:t>
      </w:r>
    </w:p>
    <w:p w14:paraId="02F14EE1">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14:paraId="14F70A0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36AE8973">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auto"/>
          <w:sz w:val="32"/>
          <w:szCs w:val="32"/>
          <w:lang w:val="zh-CN"/>
        </w:rPr>
        <w:t>2023年度一般公共预算财政拨款支出</w:t>
      </w:r>
      <w:r>
        <w:rPr>
          <w:rFonts w:hint="eastAsia" w:ascii="仿宋_GB2312" w:hAnsi="仿宋_GB2312" w:eastAsia="仿宋_GB2312" w:cs="仿宋_GB2312"/>
          <w:color w:val="000000" w:themeColor="text1"/>
          <w:sz w:val="32"/>
          <w:szCs w:val="32"/>
          <w:lang w:val="zh-CN"/>
          <w14:textFill>
            <w14:solidFill>
              <w14:schemeClr w14:val="tx1"/>
            </w14:solidFill>
          </w14:textFill>
        </w:rPr>
        <w:t>7104.49万元,较上年决算数增加5635.52万元,增长383.64%。主要原因是当年机关事业单位养老保险基金的补助增加。</w:t>
      </w:r>
    </w:p>
    <w:p w14:paraId="3B306256">
      <w:pPr>
        <w:pageBreakBefore w:val="0"/>
        <w:widowControl/>
        <w:numPr>
          <w:ilvl w:val="0"/>
          <w:numId w:val="2"/>
        </w:numPr>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78D8B5C1">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7104.49万元，主要用于以下方面：一般公共服务支出1064.68万元,占14.99%；社会保障和就业支出6019.16万元,占84.72%；卫生健康支出17.95万元,占0.25%。</w:t>
      </w:r>
    </w:p>
    <w:p w14:paraId="71500748">
      <w:pPr>
        <w:pageBreakBefore w:val="0"/>
        <w:widowControl/>
        <w:numPr>
          <w:ilvl w:val="0"/>
          <w:numId w:val="2"/>
        </w:numPr>
        <w:kinsoku/>
        <w:wordWrap/>
        <w:overflowPunct/>
        <w:topLinePunct w:val="0"/>
        <w:autoSpaceDE/>
        <w:autoSpaceDN/>
        <w:bidi w:val="0"/>
        <w:adjustRightInd/>
        <w:snapToGrid/>
        <w:spacing w:before="100" w:beforeLines="0" w:after="100" w:afterLines="0" w:line="560" w:lineRule="exact"/>
        <w:ind w:left="0" w:leftChars="0" w:firstLine="0" w:firstLineChars="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6A0E8027">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leftChars="0"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424.21万元,支出决算为7104.49万元,完成年初预算的1674.75%。其中：</w:t>
      </w:r>
    </w:p>
    <w:p w14:paraId="3D1EDCED">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年初预算数为0.00万元,支出决算为1064.68万元,完成年初预算的%,决算数大于预算</w:t>
      </w:r>
      <w:r>
        <w:rPr>
          <w:rFonts w:hint="eastAsia" w:ascii="仿宋_GB2312" w:hAnsi="仿宋_GB2312" w:eastAsia="仿宋_GB2312" w:cs="仿宋_GB2312"/>
          <w:color w:val="000000" w:themeColor="text1"/>
          <w:sz w:val="32"/>
          <w:szCs w:val="32"/>
          <w:lang w:val="zh-CN"/>
          <w14:textFill>
            <w14:solidFill>
              <w14:schemeClr w14:val="tx1"/>
            </w14:solidFill>
          </w14:textFill>
        </w:rPr>
        <w:t>数的当年机关事业单位养老保险基金的补助增加。</w:t>
      </w:r>
    </w:p>
    <w:p w14:paraId="3AD2C9C1">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000000" w:themeColor="text1"/>
          <w:sz w:val="32"/>
          <w:szCs w:val="32"/>
          <w:lang w:val="zh-CN"/>
          <w14:textFill>
            <w14:solidFill>
              <w14:schemeClr w14:val="tx1"/>
            </w14:solidFill>
          </w14:textFill>
        </w:rPr>
        <w:t>社会保障和就业支出</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年初预算数为408.59万元,支出决算为6019.16万元,完成年初预算的1473.15%,决算数大于预算数的当年机关事业单位养老保险基金的补助增加。</w:t>
      </w:r>
    </w:p>
    <w:p w14:paraId="4FF2567D">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000000" w:themeColor="text1"/>
          <w:sz w:val="32"/>
          <w:szCs w:val="32"/>
          <w:lang w:val="zh-CN"/>
          <w14:textFill>
            <w14:solidFill>
              <w14:schemeClr w14:val="tx1"/>
            </w14:solidFill>
          </w14:textFill>
        </w:rPr>
        <w:t>卫生健康支出</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年初预算数为15.62万元,支出决算为17.95万元,完成年初预算的114.94%,决算数大于预算数的各类社会保险的支出。</w:t>
      </w:r>
    </w:p>
    <w:p w14:paraId="3C91142A">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w:t>
      </w:r>
      <w:r>
        <w:rPr>
          <w:rFonts w:hint="eastAsia" w:ascii="仿宋_GB2312" w:hAnsi="仿宋_GB2312" w:eastAsia="仿宋_GB2312" w:cs="仿宋_GB2312"/>
          <w:b/>
          <w:color w:val="000000" w:themeColor="text1"/>
          <w:sz w:val="32"/>
          <w:szCs w:val="32"/>
          <w:lang w:val="zh-CN"/>
          <w14:textFill>
            <w14:solidFill>
              <w14:schemeClr w14:val="tx1"/>
            </w14:solidFill>
          </w14:textFill>
        </w:rPr>
        <w:t>农林水支出</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年初预算数为0.00万元,支出决算为2.70万元,完成年初预算的%,决算数大于预算数的主要原因是驻村工作队补助支出。</w:t>
      </w:r>
    </w:p>
    <w:p w14:paraId="1E407E6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000000" w:themeColor="text1"/>
          <w:sz w:val="32"/>
          <w:szCs w:val="32"/>
          <w:lang w:val="zh-CN" w:eastAsia="zh-CN"/>
          <w14:textFill>
            <w14:solidFill>
              <w14:schemeClr w14:val="tx1"/>
            </w14:solidFill>
          </w14:textFill>
        </w:rPr>
        <w:t>六、一般公共预算财政</w:t>
      </w:r>
      <w:r>
        <w:rPr>
          <w:rFonts w:hint="eastAsia" w:ascii="仿宋_GB2312" w:hAnsi="仿宋_GB2312" w:eastAsia="仿宋_GB2312" w:cs="仿宋_GB2312"/>
          <w:b/>
          <w:bCs/>
          <w:color w:val="auto"/>
          <w:sz w:val="32"/>
          <w:szCs w:val="32"/>
          <w:lang w:val="zh-CN" w:eastAsia="zh-CN"/>
        </w:rPr>
        <w:t>拨款基本支出决算情况说明</w:t>
      </w:r>
    </w:p>
    <w:p w14:paraId="7F5937A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2023年度一般公共预算财政拨款基本支出5966.57万元。其中：</w:t>
      </w:r>
      <w:r>
        <w:rPr>
          <w:rFonts w:hint="eastAsia" w:ascii="仿宋_GB2312" w:hAnsi="仿宋_GB2312" w:eastAsia="仿宋_GB2312" w:cs="仿宋_GB2312"/>
          <w:b/>
          <w:color w:val="000000" w:themeColor="text1"/>
          <w:sz w:val="32"/>
          <w:szCs w:val="32"/>
          <w:lang w:val="zh-CN"/>
          <w14:textFill>
            <w14:solidFill>
              <w14:schemeClr w14:val="tx1"/>
            </w14:solidFill>
          </w14:textFill>
        </w:rPr>
        <w:t>人员经费</w:t>
      </w:r>
      <w:r>
        <w:rPr>
          <w:rFonts w:hint="eastAsia" w:ascii="仿宋_GB2312" w:hAnsi="仿宋_GB2312" w:eastAsia="仿宋_GB2312" w:cs="仿宋_GB2312"/>
          <w:color w:val="000000" w:themeColor="text1"/>
          <w:sz w:val="32"/>
          <w:szCs w:val="32"/>
          <w:lang w:val="zh-CN"/>
          <w14:textFill>
            <w14:solidFill>
              <w14:schemeClr w14:val="tx1"/>
            </w14:solidFill>
          </w14:textFill>
        </w:rPr>
        <w:t>5943.21万元,较上年决算数增加4500.44万元,增长311.93%,主要原因是当年机关事业单位养老保险基金的补助增加、调资及社会保险缴纳的增加。人员经费用途主要包括基本工资、津贴补贴、奖金、社会保障缴费、对机关事业单位养老保险基金的补助。</w:t>
      </w:r>
      <w:r>
        <w:rPr>
          <w:rFonts w:hint="eastAsia" w:ascii="仿宋_GB2312" w:hAnsi="仿宋_GB2312" w:eastAsia="仿宋_GB2312" w:cs="仿宋_GB2312"/>
          <w:b/>
          <w:color w:val="000000" w:themeColor="text1"/>
          <w:sz w:val="32"/>
          <w:szCs w:val="32"/>
          <w:lang w:val="zh-CN"/>
          <w14:textFill>
            <w14:solidFill>
              <w14:schemeClr w14:val="tx1"/>
            </w14:solidFill>
          </w14:textFill>
        </w:rPr>
        <w:t>公用经费</w:t>
      </w:r>
      <w:r>
        <w:rPr>
          <w:rFonts w:hint="eastAsia" w:ascii="仿宋_GB2312" w:hAnsi="仿宋_GB2312" w:eastAsia="仿宋_GB2312" w:cs="仿宋_GB2312"/>
          <w:color w:val="000000" w:themeColor="text1"/>
          <w:sz w:val="32"/>
          <w:szCs w:val="32"/>
          <w:lang w:val="zh-CN"/>
          <w14:textFill>
            <w14:solidFill>
              <w14:schemeClr w14:val="tx1"/>
            </w14:solidFill>
          </w14:textFill>
        </w:rPr>
        <w:t>23.36万元,较上年决算数减少2.84万元,下降10.83%,主要原因是精减支出。公用经费用途办公费、印刷费、差旅费、邮电费等。</w:t>
      </w:r>
    </w:p>
    <w:p w14:paraId="2EE38B05">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七、政府性基金预算财政拨款收支决算情况说明</w:t>
      </w:r>
    </w:p>
    <w:p w14:paraId="696D66A7">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本部门2023年度无政府性基金收入,也没有使用政府性基金安排的支出。</w:t>
      </w:r>
    </w:p>
    <w:p w14:paraId="2FA1524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zh-CN" w:eastAsia="zh-CN"/>
          <w14:textFill>
            <w14:solidFill>
              <w14:schemeClr w14:val="tx1"/>
            </w14:solidFill>
          </w14:textFill>
        </w:rPr>
        <w:t>八、国有资本经营预算财政拨款支出情况说明</w:t>
      </w:r>
    </w:p>
    <w:p w14:paraId="440E3C83">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2023年度国有资本经营预算财政拨款本年支出5.16万元,主要用于国有企业退休人员社会化管理。</w:t>
      </w:r>
    </w:p>
    <w:p w14:paraId="562BE8CD">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lang w:val="zh-CN" w:eastAsia="zh-CN"/>
        </w:rPr>
        <w:t>、财政拨款“三公”经费支出决算情况说明</w:t>
      </w:r>
    </w:p>
    <w:p w14:paraId="110EE6F8">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5F4FDC09">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2023年度“三公”经费支出</w:t>
      </w:r>
      <w:r>
        <w:rPr>
          <w:rFonts w:hint="eastAsia" w:ascii="仿宋_GB2312" w:hAnsi="仿宋_GB2312" w:eastAsia="仿宋_GB2312" w:cs="仿宋_GB2312"/>
          <w:color w:val="000000" w:themeColor="text1"/>
          <w:sz w:val="32"/>
          <w:szCs w:val="32"/>
          <w:lang w:val="en-US"/>
          <w14:textFill>
            <w14:solidFill>
              <w14:schemeClr w14:val="tx1"/>
            </w14:solidFill>
          </w14:textFill>
        </w:rPr>
        <w:t>全年</w:t>
      </w:r>
      <w:r>
        <w:rPr>
          <w:rFonts w:hint="eastAsia" w:ascii="仿宋_GB2312" w:hAnsi="仿宋_GB2312" w:eastAsia="仿宋_GB2312" w:cs="仿宋_GB2312"/>
          <w:color w:val="000000" w:themeColor="text1"/>
          <w:sz w:val="32"/>
          <w:szCs w:val="32"/>
          <w:lang w:val="zh-CN"/>
          <w14:textFill>
            <w14:solidFill>
              <w14:schemeClr w14:val="tx1"/>
            </w14:solidFill>
          </w14:textFill>
        </w:rPr>
        <w:t>预算数为0.21万元,支出决算为0.00万元,决算数小于预算数的主要原因是逐年减少支出,</w:t>
      </w:r>
      <w:r>
        <w:rPr>
          <w:rFonts w:hint="eastAsia" w:ascii="仿宋_GB2312" w:hAnsi="仿宋_GB2312" w:eastAsia="仿宋_GB2312" w:cs="仿宋_GB2312"/>
          <w:color w:val="000000" w:themeColor="text1"/>
          <w:sz w:val="32"/>
          <w:szCs w:val="32"/>
          <w:lang w:val="en-US"/>
          <w14:textFill>
            <w14:solidFill>
              <w14:schemeClr w14:val="tx1"/>
            </w14:solidFill>
          </w14:textFill>
        </w:rPr>
        <w:t>较上年决算数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减少0.12</w:t>
      </w:r>
      <w:r>
        <w:rPr>
          <w:rFonts w:hint="eastAsia" w:ascii="仿宋_GB2312" w:hAnsi="仿宋_GB2312" w:eastAsia="仿宋_GB2312" w:cs="仿宋_GB2312"/>
          <w:color w:val="000000" w:themeColor="text1"/>
          <w:sz w:val="32"/>
          <w:szCs w:val="32"/>
          <w:lang w:val="zh-CN"/>
          <w14:textFill>
            <w14:solidFill>
              <w14:schemeClr w14:val="tx1"/>
            </w14:solidFill>
          </w14:textFill>
        </w:rPr>
        <w:t>万元</w:t>
      </w:r>
      <w:r>
        <w:rPr>
          <w:rFonts w:hint="eastAsia" w:ascii="仿宋_GB2312" w:hAnsi="仿宋_GB2312" w:eastAsia="仿宋_GB2312" w:cs="仿宋_GB2312"/>
          <w:color w:val="000000" w:themeColor="text1"/>
          <w:sz w:val="32"/>
          <w:szCs w:val="32"/>
          <w:lang w:val="en-U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下降100.0</w:t>
      </w: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zh-CN"/>
          <w14:textFill>
            <w14:solidFill>
              <w14:schemeClr w14:val="tx1"/>
            </w14:solidFill>
          </w14:textFill>
        </w:rPr>
        <w:t>逐年减少支出。</w:t>
      </w:r>
    </w:p>
    <w:p w14:paraId="786CECD4">
      <w:pPr>
        <w:pageBreakBefore w:val="0"/>
        <w:widowControl/>
        <w:numPr>
          <w:ilvl w:val="0"/>
          <w:numId w:val="3"/>
        </w:numPr>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145466D3">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FF0000"/>
          <w:sz w:val="32"/>
          <w:szCs w:val="32"/>
          <w:lang w:val="zh-CN"/>
        </w:rPr>
        <w:t>。</w:t>
      </w:r>
    </w:p>
    <w:p w14:paraId="7C77F49B">
      <w:pPr>
        <w:pageBreakBefore w:val="0"/>
        <w:widowControl/>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减少0.0</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FF0000"/>
          <w:sz w:val="32"/>
          <w:szCs w:val="32"/>
          <w:lang w:val="zh-CN"/>
        </w:rPr>
        <w:t>。</w:t>
      </w:r>
    </w:p>
    <w:p w14:paraId="516ABE15">
      <w:pPr>
        <w:pageBreakBefore w:val="0"/>
        <w:widowControl/>
        <w:numPr>
          <w:ilvl w:val="0"/>
          <w:numId w:val="0"/>
        </w:numPr>
        <w:kinsoku/>
        <w:wordWrap/>
        <w:overflowPunct/>
        <w:topLinePunct w:val="0"/>
        <w:autoSpaceDE/>
        <w:autoSpaceDN/>
        <w:bidi w:val="0"/>
        <w:adjustRightInd/>
        <w:snapToGrid/>
        <w:spacing w:before="100" w:beforeLines="0" w:after="100" w:afterLines="0" w:line="560" w:lineRule="exact"/>
        <w:ind w:firstLine="643"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000000" w:themeColor="text1"/>
          <w:sz w:val="32"/>
          <w:szCs w:val="32"/>
          <w:lang w:val="en-US"/>
          <w14:textFill>
            <w14:solidFill>
              <w14:schemeClr w14:val="tx1"/>
            </w14:solidFill>
          </w14:textFill>
        </w:rPr>
        <w:t>全</w:t>
      </w:r>
      <w:r>
        <w:rPr>
          <w:rFonts w:hint="eastAsia" w:ascii="仿宋_GB2312" w:hAnsi="仿宋_GB2312" w:eastAsia="仿宋_GB2312" w:cs="仿宋_GB2312"/>
          <w:color w:val="000000" w:themeColor="text1"/>
          <w:sz w:val="32"/>
          <w:szCs w:val="32"/>
          <w:lang w:val="zh-CN"/>
          <w14:textFill>
            <w14:solidFill>
              <w14:schemeClr w14:val="tx1"/>
            </w14:solidFill>
          </w14:textFill>
        </w:rPr>
        <w:t>年预算数为0.21万元,支出决算为0.00万元,决算数小于预算数的主要原因是逐年减少支出,</w:t>
      </w:r>
      <w:r>
        <w:rPr>
          <w:rFonts w:hint="eastAsia" w:ascii="仿宋_GB2312" w:hAnsi="仿宋_GB2312" w:eastAsia="仿宋_GB2312" w:cs="仿宋_GB2312"/>
          <w:color w:val="000000" w:themeColor="text1"/>
          <w:sz w:val="32"/>
          <w:szCs w:val="32"/>
          <w:lang w:val="en-US"/>
          <w14:textFill>
            <w14:solidFill>
              <w14:schemeClr w14:val="tx1"/>
            </w14:solidFill>
          </w14:textFill>
        </w:rPr>
        <w:t>较上年决算数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减少0.12</w:t>
      </w:r>
      <w:r>
        <w:rPr>
          <w:rFonts w:hint="eastAsia" w:ascii="仿宋_GB2312" w:hAnsi="仿宋_GB2312" w:eastAsia="仿宋_GB2312" w:cs="仿宋_GB2312"/>
          <w:color w:val="000000" w:themeColor="text1"/>
          <w:sz w:val="32"/>
          <w:szCs w:val="32"/>
          <w:lang w:val="zh-CN"/>
          <w14:textFill>
            <w14:solidFill>
              <w14:schemeClr w14:val="tx1"/>
            </w14:solidFill>
          </w14:textFill>
        </w:rPr>
        <w:t>万元</w:t>
      </w:r>
      <w:r>
        <w:rPr>
          <w:rFonts w:hint="eastAsia" w:ascii="仿宋_GB2312" w:hAnsi="仿宋_GB2312" w:eastAsia="仿宋_GB2312" w:cs="仿宋_GB2312"/>
          <w:color w:val="000000" w:themeColor="text1"/>
          <w:sz w:val="32"/>
          <w:szCs w:val="32"/>
          <w:lang w:val="en-U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下降100.0</w:t>
      </w: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zh-CN"/>
          <w14:textFill>
            <w14:solidFill>
              <w14:schemeClr w14:val="tx1"/>
            </w14:solidFill>
          </w14:textFill>
        </w:rPr>
        <w:t>逐年减少支出。</w:t>
      </w:r>
    </w:p>
    <w:p w14:paraId="1B15ED30">
      <w:pPr>
        <w:pageBreakBefore w:val="0"/>
        <w:widowControl/>
        <w:numPr>
          <w:ilvl w:val="0"/>
          <w:numId w:val="3"/>
        </w:numPr>
        <w:kinsoku/>
        <w:wordWrap/>
        <w:overflowPunct/>
        <w:topLinePunct w:val="0"/>
        <w:autoSpaceDE/>
        <w:autoSpaceDN/>
        <w:bidi w:val="0"/>
        <w:adjustRightInd/>
        <w:snapToGrid/>
        <w:spacing w:before="100" w:beforeLines="0" w:after="100" w:afterLines="0" w:line="560" w:lineRule="exact"/>
        <w:ind w:left="0" w:leftChars="0" w:firstLine="0" w:firstLineChars="0"/>
        <w:jc w:val="left"/>
        <w:textAlignment w:val="auto"/>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14:paraId="04E62468">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共计个团组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p>
    <w:p w14:paraId="6522925F">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14:paraId="2C4F43D9">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2023年度本部门机关运行经费支出23.36万元,机关运行经费主要用于商品和服务支出。机关运行经费较上年决算数减少2.84万元,下降10.84%,主要原因是落实过紧日子要求压减经费支出。</w:t>
      </w:r>
    </w:p>
    <w:p w14:paraId="2D7F6105">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本年度会议费支出0.00万元,较上年决算数减少0.15万元,下降100.0%,主要原因是当年未产生会议费。本年度培训费支出0.00万元,较上年决算数减少0.0万元。</w:t>
      </w:r>
    </w:p>
    <w:p w14:paraId="514BAB0B">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000000" w:themeColor="text1"/>
          <w:sz w:val="32"/>
          <w:szCs w:val="32"/>
          <w:lang w:val="zh-CN"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zh-CN" w:eastAsia="zh-CN"/>
          <w14:textFill>
            <w14:solidFill>
              <w14:schemeClr w14:val="tx1"/>
            </w14:solidFill>
          </w14:textFill>
        </w:rPr>
        <w:t>十一、政府采购支出情况说明</w:t>
      </w:r>
    </w:p>
    <w:p w14:paraId="62E4ABD6">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我单位2023年度无政府采购相关经费。</w:t>
      </w:r>
    </w:p>
    <w:p w14:paraId="7A325F8F">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14:paraId="4E7311A9">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1B4BDA10">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14:paraId="323150D7">
      <w:pPr>
        <w:pageBreakBefore w:val="0"/>
        <w:widowControl/>
        <w:kinsoku/>
        <w:wordWrap/>
        <w:overflowPunct/>
        <w:topLinePunct w:val="0"/>
        <w:autoSpaceDE/>
        <w:autoSpaceDN/>
        <w:bidi w:val="0"/>
        <w:adjustRightInd/>
        <w:snapToGrid/>
        <w:spacing w:before="100" w:beforeLines="0" w:after="100" w:afterLines="0" w:line="560" w:lineRule="exact"/>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36A7590E">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2562D313">
      <w:pPr>
        <w:pageBreakBefore w:val="0"/>
        <w:widowControl/>
        <w:numPr>
          <w:ilvl w:val="0"/>
          <w:numId w:val="4"/>
        </w:numPr>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预算绩效管理工作开展情况</w:t>
      </w:r>
    </w:p>
    <w:p w14:paraId="52C9021C">
      <w:pPr>
        <w:keepNext w:val="0"/>
        <w:keepLines w:val="0"/>
        <w:pageBreakBefore w:val="0"/>
        <w:widowControl w:val="0"/>
        <w:numPr>
          <w:ilvl w:val="0"/>
          <w:numId w:val="0"/>
        </w:numPr>
        <w:tabs>
          <w:tab w:val="left" w:pos="10490"/>
        </w:tabs>
        <w:kinsoku/>
        <w:wordWrap/>
        <w:overflowPunct/>
        <w:topLinePunct w:val="0"/>
        <w:autoSpaceDE w:val="0"/>
        <w:autoSpaceDN w:val="0"/>
        <w:bidi w:val="0"/>
        <w:adjustRightInd w:val="0"/>
        <w:snapToGrid/>
        <w:spacing w:line="640" w:lineRule="exact"/>
        <w:ind w:firstLine="640" w:firstLineChars="200"/>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kern w:val="0"/>
          <w:sz w:val="32"/>
          <w:szCs w:val="32"/>
          <w:lang w:val="en-US"/>
        </w:rPr>
        <w:t>根据预算绩效管理要求,本部门对</w:t>
      </w: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lang w:val="en-US"/>
        </w:rPr>
        <w:t>年度一般公共预算项目支出全面开展绩效自评,</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我单位2023年支出7109.66万元，均为基本支出。从评价情况来看我单位全面完成设定目标值，较好的完成了各项目实施，保障了单位工作高效高质量运行。</w:t>
      </w:r>
    </w:p>
    <w:p w14:paraId="69B95712">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二、绩效自评结果</w:t>
      </w:r>
    </w:p>
    <w:p w14:paraId="2F7D8E14">
      <w:pPr>
        <w:spacing w:before="100" w:beforeLines="0" w:after="100" w:afterLines="0"/>
        <w:ind w:firstLine="640" w:firstLineChars="200"/>
        <w:jc w:val="left"/>
        <w:rPr>
          <w:rFonts w:hint="eastAsia" w:asciiTheme="majorEastAsia" w:hAnsiTheme="majorEastAsia" w:eastAsiaTheme="majorEastAsia" w:cstheme="majorEastAsia"/>
          <w:b/>
          <w:bCs w:val="0"/>
          <w:sz w:val="32"/>
          <w:szCs w:val="32"/>
          <w:lang w:eastAsia="zh-CN"/>
        </w:rPr>
      </w:pPr>
      <w:r>
        <w:rPr>
          <w:rFonts w:hint="eastAsia" w:ascii="宋体" w:hAnsi="宋体"/>
          <w:color w:val="auto"/>
          <w:sz w:val="32"/>
          <w:szCs w:val="32"/>
          <w:lang w:val="zh-CN"/>
        </w:rPr>
        <w:t>绩效目标自评表（详见附表）</w:t>
      </w:r>
    </w:p>
    <w:p w14:paraId="76D9A50E">
      <w:p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14:textFill>
            <w14:solidFill>
              <w14:schemeClr w14:val="tx1"/>
            </w14:solidFill>
          </w14:textFill>
        </w:rPr>
        <w:t>我</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在202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年度</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决算中反映</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单位整体支出</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绩效自评结果。</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单位整体</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项目绩效自评情况：根据年初设定的绩效目标,绩效自评得分为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分。</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单位整体支出</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全年预算数为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7109.66</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万元,执行数为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7109.66</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万元,完成预算的</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达到了年初总体目标，</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合理安排</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了</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支出，保障</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工作正常运转，提高</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了</w:t>
      </w:r>
      <w:r>
        <w:rPr>
          <w:rFonts w:hint="eastAsia" w:ascii="仿宋_GB2312" w:hAnsi="仿宋_GB2312" w:eastAsia="仿宋_GB2312" w:cs="仿宋_GB2312"/>
          <w:color w:val="000000" w:themeColor="text1"/>
          <w:kern w:val="0"/>
          <w:sz w:val="32"/>
          <w:szCs w:val="32"/>
          <w:lang w:val="en-US"/>
          <w14:textFill>
            <w14:solidFill>
              <w14:schemeClr w14:val="tx1"/>
            </w14:solidFill>
          </w14:textFill>
        </w:rPr>
        <w:t>资金利用率</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p>
    <w:p w14:paraId="74869516">
      <w:pPr>
        <w:pageBreakBefore w:val="0"/>
        <w:widowControl/>
        <w:kinsoku/>
        <w:wordWrap/>
        <w:overflowPunct/>
        <w:topLinePunct w:val="0"/>
        <w:autoSpaceDE/>
        <w:autoSpaceDN/>
        <w:bidi w:val="0"/>
        <w:adjustRightInd/>
        <w:snapToGrid/>
        <w:spacing w:before="100" w:beforeLines="0" w:after="100" w:afterLines="0" w:line="560" w:lineRule="exact"/>
        <w:jc w:val="left"/>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p>
    <w:p w14:paraId="15C6C13F">
      <w:pPr>
        <w:spacing w:before="100" w:beforeLines="0" w:after="100" w:afterLines="0"/>
        <w:ind w:firstLine="640" w:firstLineChars="200"/>
        <w:jc w:val="left"/>
        <w:rPr>
          <w:rFonts w:hint="eastAsia" w:ascii="仿宋_GB2312" w:hAnsi="仿宋_GB2312" w:eastAsia="仿宋_GB2312" w:cs="仿宋_GB2312"/>
          <w:color w:val="000000" w:themeColor="text1"/>
          <w:kern w:val="0"/>
          <w:sz w:val="32"/>
          <w:szCs w:val="32"/>
          <w:lang w:val="zh-CN"/>
          <w14:textFill>
            <w14:solidFill>
              <w14:schemeClr w14:val="tx1"/>
            </w14:solidFill>
          </w14:textFill>
        </w:rPr>
      </w:pPr>
      <w:r>
        <w:rPr>
          <w:rFonts w:hint="eastAsia" w:ascii="仿宋_GB2312" w:hAnsi="仿宋_GB2312" w:eastAsia="仿宋_GB2312" w:cs="仿宋_GB2312"/>
          <w:color w:val="000000" w:themeColor="text1"/>
          <w:kern w:val="0"/>
          <w:sz w:val="32"/>
          <w:szCs w:val="32"/>
          <w:lang w:val="zh-CN"/>
          <w14:textFill>
            <w14:solidFill>
              <w14:schemeClr w14:val="tx1"/>
            </w14:solidFill>
          </w14:textFill>
        </w:rPr>
        <w:t>无</w:t>
      </w:r>
    </w:p>
    <w:p w14:paraId="032C1038">
      <w:pPr>
        <w:pageBreakBefore w:val="0"/>
        <w:widowControl/>
        <w:kinsoku/>
        <w:wordWrap/>
        <w:overflowPunct/>
        <w:topLinePunct w:val="0"/>
        <w:autoSpaceDE/>
        <w:autoSpaceDN/>
        <w:bidi w:val="0"/>
        <w:adjustRightInd/>
        <w:snapToGrid/>
        <w:spacing w:before="100" w:beforeLines="0" w:after="100" w:afterLines="0" w:line="560" w:lineRule="exact"/>
        <w:jc w:val="center"/>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6A588FA7">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0EE9330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7C10D11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5329AB25">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1FDEA032">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bCs/>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7DD7734F">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4FFD334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66D39924">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391E438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6FAB3F99">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27661086">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5253208C">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EED19D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0E429EE">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7BDB6241">
      <w:pPr>
        <w:pageBreakBefore w:val="0"/>
        <w:widowControl/>
        <w:kinsoku/>
        <w:wordWrap/>
        <w:overflowPunct/>
        <w:topLinePunct w:val="0"/>
        <w:autoSpaceDE/>
        <w:autoSpaceDN/>
        <w:bidi w:val="0"/>
        <w:adjustRightInd/>
        <w:snapToGrid/>
        <w:spacing w:before="100" w:beforeLines="0" w:after="100" w:afterLines="0" w:line="560" w:lineRule="exact"/>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BEDB"/>
    <w:multiLevelType w:val="singleLevel"/>
    <w:tmpl w:val="B04DBEDB"/>
    <w:lvl w:ilvl="0" w:tentative="0">
      <w:start w:val="2"/>
      <w:numFmt w:val="decimal"/>
      <w:suff w:val="nothing"/>
      <w:lvlText w:val="（%1）"/>
      <w:lvlJc w:val="left"/>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2037E161"/>
    <w:multiLevelType w:val="singleLevel"/>
    <w:tmpl w:val="2037E161"/>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NDJkYjU3MTRhNWRhZDFjMGQwZWM4MjU5MTc0MGIifQ=="/>
  </w:docVars>
  <w:rsids>
    <w:rsidRoot w:val="00000000"/>
    <w:rsid w:val="0A093587"/>
    <w:rsid w:val="1E58195A"/>
    <w:rsid w:val="231E1DC0"/>
    <w:rsid w:val="2DE12335"/>
    <w:rsid w:val="627E2916"/>
    <w:rsid w:val="7BDF137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3bfba033-deee-4676-b869-02ec975823ac}">
  <ds:schemaRefs/>
</ds:datastoreItem>
</file>

<file path=customXml/itemProps2.xml><?xml version="1.0" encoding="utf-8"?>
<ds:datastoreItem xmlns:ds="http://schemas.openxmlformats.org/officeDocument/2006/customXml" ds:itemID="{acdb9ecb-001f-4667-9378-49ea80f2f6cb}">
  <ds:schemaRefs/>
</ds:datastoreItem>
</file>

<file path=customXml/itemProps3.xml><?xml version="1.0" encoding="utf-8"?>
<ds:datastoreItem xmlns:ds="http://schemas.openxmlformats.org/officeDocument/2006/customXml" ds:itemID="{4199c60c-18a8-4b8c-8b9b-ee3a6234df9f}">
  <ds:schemaRefs/>
</ds:datastoreItem>
</file>

<file path=customXml/itemProps4.xml><?xml version="1.0" encoding="utf-8"?>
<ds:datastoreItem xmlns:ds="http://schemas.openxmlformats.org/officeDocument/2006/customXml" ds:itemID="{ec61a90f-cff5-40cd-ba08-7dc60ec29eda}">
  <ds:schemaRefs/>
</ds:datastoreItem>
</file>

<file path=customXml/itemProps5.xml><?xml version="1.0" encoding="utf-8"?>
<ds:datastoreItem xmlns:ds="http://schemas.openxmlformats.org/officeDocument/2006/customXml" ds:itemID="{8b35e788-2b1b-4cda-b10e-3dfb2ab525d1}">
  <ds:schemaRefs/>
</ds:datastoreItem>
</file>

<file path=customXml/itemProps6.xml><?xml version="1.0" encoding="utf-8"?>
<ds:datastoreItem xmlns:ds="http://schemas.openxmlformats.org/officeDocument/2006/customXml" ds:itemID="{83cab20f-9139-4834-b0f7-cd0aff4947d7}">
  <ds:schemaRefs/>
</ds:datastoreItem>
</file>

<file path=customXml/itemProps7.xml><?xml version="1.0" encoding="utf-8"?>
<ds:datastoreItem xmlns:ds="http://schemas.openxmlformats.org/officeDocument/2006/customXml" ds:itemID="{0d948737-42ba-4c4a-85b6-cc27c5cd8d7a}">
  <ds:schemaRefs/>
</ds:datastoreItem>
</file>

<file path=customXml/itemProps8.xml><?xml version="1.0" encoding="utf-8"?>
<ds:datastoreItem xmlns:ds="http://schemas.openxmlformats.org/officeDocument/2006/customXml" ds:itemID="{b6fa3b71-0604-43a2-be36-8aa868050afb}">
  <ds:schemaRefs/>
</ds:datastoreItem>
</file>

<file path=customXml/itemProps9.xml><?xml version="1.0" encoding="utf-8"?>
<ds:datastoreItem xmlns:ds="http://schemas.openxmlformats.org/officeDocument/2006/customXml" ds:itemID="{346af022-61e0-4b65-abf6-1240eb6e2d5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3874</Words>
  <Characters>4286</Characters>
  <Lines>0</Lines>
  <Paragraphs>0</Paragraphs>
  <TotalTime>0</TotalTime>
  <ScaleCrop>false</ScaleCrop>
  <LinksUpToDate>false</LinksUpToDate>
  <CharactersWithSpaces>4292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cp:lastModifiedBy>
  <dcterms:modified xsi:type="dcterms:W3CDTF">2024-09-19T02:06:33Z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F3CC70D7ACFB4E4EBB048914ADC8356D_13</vt:lpwstr>
  </property>
</Properties>
</file>