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48"/>
          <w:szCs w:val="48"/>
        </w:rPr>
      </w:pPr>
    </w:p>
    <w:p>
      <w:pPr>
        <w:jc w:val="center"/>
        <w:rPr>
          <w:rFonts w:hint="eastAsia"/>
          <w:b/>
          <w:bCs/>
          <w:sz w:val="48"/>
          <w:szCs w:val="48"/>
        </w:rPr>
      </w:pPr>
      <w:r>
        <w:rPr>
          <w:rFonts w:hint="eastAsia"/>
          <w:b/>
          <w:bCs/>
          <w:sz w:val="48"/>
          <w:szCs w:val="48"/>
        </w:rPr>
        <w:t>华池县</w:t>
      </w:r>
      <w:r>
        <w:rPr>
          <w:rFonts w:hint="eastAsia"/>
          <w:b/>
          <w:bCs/>
          <w:sz w:val="48"/>
          <w:szCs w:val="48"/>
          <w:lang w:eastAsia="zh-CN"/>
        </w:rPr>
        <w:t>城市建设投资公司</w:t>
      </w:r>
      <w:r>
        <w:rPr>
          <w:rFonts w:hint="eastAsia"/>
          <w:b/>
          <w:bCs/>
          <w:sz w:val="48"/>
          <w:szCs w:val="48"/>
        </w:rPr>
        <w:t>整体支出绩效自评报告</w:t>
      </w:r>
    </w:p>
    <w:p>
      <w:pPr>
        <w:jc w:val="center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(2023 年度)</w:t>
      </w:r>
    </w:p>
    <w:p>
      <w:pPr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70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一 、部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门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概况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70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(一)部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门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主要职责职能，组织架构，人员等基本情況。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70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1．主要职能。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before="100" w:beforeLines="0" w:after="100" w:afterLines="0" w:line="7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 xml:space="preserve">华池县城市建设投资公司主要承担政府投资项目的融资，负责项目建设资金渠道融资工作。发挥市场配置的基础性作用，扩宽筹资渠道，推动城市建设；规范融资管理程序，市场化运作，行使城市基础设施经营、管理、还贷等工作；受政府委托实施城市基础设施建设及招商引资工作。  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70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机构情况，包括当年变动情况及原因。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7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（1）独立编制机构。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7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2023年，独立编制机构共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u w:val="single"/>
          <w:lang w:val="en-US" w:eastAsia="zh-CN"/>
          <w14:textFill>
            <w14:solidFill>
              <w14:schemeClr w14:val="tx1"/>
            </w14:solidFill>
          </w14:textFill>
        </w:rPr>
        <w:t>0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个，较上年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eastAsia="zh-CN" w:bidi="zh-HK"/>
          <w14:textFill>
            <w14:solidFill>
              <w14:schemeClr w14:val="tx1"/>
            </w14:solidFill>
          </w14:textFill>
        </w:rPr>
        <w:t>减少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 w:bidi="zh-HK"/>
          <w14:textFill>
            <w14:solidFill>
              <w14:schemeClr w14:val="tx1"/>
            </w14:solidFill>
          </w14:textFill>
        </w:rPr>
        <w:t>1个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。独立编制机构主要变动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原因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：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2022年机构撤销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bidi="zh-HK"/>
          <w14:textFill>
            <w14:solidFill>
              <w14:schemeClr w14:val="tx1"/>
            </w14:solidFill>
          </w14:textFill>
        </w:rPr>
        <w:t>。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7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（2）独立核算机构。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7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2023年，独立核算机构共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u w:val="single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个，较上年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bidi="zh-HK"/>
          <w14:textFill>
            <w14:solidFill>
              <w14:schemeClr w14:val="tx1"/>
            </w14:solidFill>
          </w14:textFill>
        </w:rPr>
        <w:t>持平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70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3．人员情况，包括当年变动情况及原因。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7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bidi="zh-HK"/>
          <w14:textFill>
            <w14:solidFill>
              <w14:schemeClr w14:val="tx1"/>
            </w14:solidFill>
          </w14:textFill>
        </w:rPr>
        <w:t>2023年年末实有人数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 w:bidi="zh-HK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bidi="zh-HK"/>
          <w14:textFill>
            <w14:solidFill>
              <w14:schemeClr w14:val="tx1"/>
            </w14:solidFill>
          </w14:textFill>
        </w:rPr>
        <w:t>人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（不含遗属优抚人员），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bidi="zh-HK"/>
          <w14:textFill>
            <w14:solidFill>
              <w14:schemeClr w14:val="tx1"/>
            </w14:solidFill>
          </w14:textFill>
        </w:rPr>
        <w:t>与2022年度相比，减少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 w:bidi="zh-HK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bidi="zh-HK"/>
          <w14:textFill>
            <w14:solidFill>
              <w14:schemeClr w14:val="tx1"/>
            </w14:solidFill>
          </w14:textFill>
        </w:rPr>
        <w:t>人，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变动情况及原因如下：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调出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2人。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ind w:left="0" w:firstLine="640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bidi="zh-HK"/>
          <w14:textFill>
            <w14:solidFill>
              <w14:schemeClr w14:val="tx1"/>
            </w14:solidFill>
          </w14:textFill>
        </w:rPr>
        <w:t>2023年在职人员人数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 w:bidi="zh-HK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bidi="zh-HK"/>
          <w14:textFill>
            <w14:solidFill>
              <w14:schemeClr w14:val="tx1"/>
            </w14:solidFill>
          </w14:textFill>
        </w:rPr>
        <w:t>人。与2022年度相比，减少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 w:bidi="zh-HK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bidi="zh-HK"/>
          <w14:textFill>
            <w14:solidFill>
              <w14:schemeClr w14:val="tx1"/>
            </w14:solidFill>
          </w14:textFill>
        </w:rPr>
        <w:t>人，在职人员人数主要变动原因：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调出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2人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bidi="zh-HK"/>
          <w14:textFill>
            <w14:solidFill>
              <w14:schemeClr w14:val="tx1"/>
            </w14:solidFill>
          </w14:textFill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7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bidi="zh-HK"/>
          <w14:textFill>
            <w14:solidFill>
              <w14:schemeClr w14:val="tx1"/>
            </w14:solidFill>
          </w14:textFill>
        </w:rPr>
        <w:t>②2023年离休人员人数为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 w:bidi="zh-HK"/>
          <w14:textFill>
            <w14:solidFill>
              <w14:schemeClr w14:val="tx1"/>
            </w14:solidFill>
          </w14:textFill>
        </w:rPr>
        <w:t>0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bidi="zh-HK"/>
          <w14:textFill>
            <w14:solidFill>
              <w14:schemeClr w14:val="tx1"/>
            </w14:solidFill>
          </w14:textFill>
        </w:rPr>
        <w:t>人。与2022年度相比，持平。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7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bidi="zh-HK"/>
          <w14:textFill>
            <w14:solidFill>
              <w14:schemeClr w14:val="tx1"/>
            </w14:solidFill>
          </w14:textFill>
        </w:rPr>
        <w:t>③2023年退休人员人数为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 w:bidi="zh-HK"/>
          <w14:textFill>
            <w14:solidFill>
              <w14:schemeClr w14:val="tx1"/>
            </w14:solidFill>
          </w14:textFill>
        </w:rPr>
        <w:t>0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bidi="zh-HK"/>
          <w14:textFill>
            <w14:solidFill>
              <w14:schemeClr w14:val="tx1"/>
            </w14:solidFill>
          </w14:textFill>
        </w:rPr>
        <w:t>人。与2022年度相比，持平。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70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(二)当年部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门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履职总体目标、工作任务。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before="100" w:beforeLines="0" w:after="100" w:afterLines="0" w:line="7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由于本单位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2022年机构撤销，人员未分流，故当年部门履职总体目标、工作任务就是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合理安排支出，保障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人员工资及各项保险的缴纳。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700" w:lineRule="exact"/>
        <w:ind w:firstLine="602" w:firstLineChars="200"/>
        <w:textAlignment w:val="auto"/>
        <w:rPr>
          <w:rFonts w:hint="eastAsia"/>
          <w:b/>
          <w:bCs/>
          <w:sz w:val="30"/>
          <w:szCs w:val="30"/>
        </w:rPr>
      </w:pPr>
      <w:r>
        <w:rPr>
          <w:rFonts w:hint="eastAsia"/>
          <w:b/>
          <w:bCs/>
          <w:sz w:val="30"/>
          <w:szCs w:val="30"/>
        </w:rPr>
        <w:t>(</w:t>
      </w:r>
      <w:r>
        <w:rPr>
          <w:rFonts w:hint="eastAsia"/>
          <w:b/>
          <w:bCs/>
          <w:sz w:val="30"/>
          <w:szCs w:val="30"/>
          <w:lang w:eastAsia="zh-CN"/>
        </w:rPr>
        <w:t>三</w:t>
      </w:r>
      <w:r>
        <w:rPr>
          <w:rFonts w:hint="eastAsia"/>
          <w:b/>
          <w:bCs/>
          <w:sz w:val="30"/>
          <w:szCs w:val="30"/>
        </w:rPr>
        <w:t>) 部</w:t>
      </w:r>
      <w:r>
        <w:rPr>
          <w:rFonts w:hint="eastAsia"/>
          <w:b/>
          <w:bCs/>
          <w:sz w:val="30"/>
          <w:szCs w:val="30"/>
          <w:lang w:eastAsia="zh-CN"/>
        </w:rPr>
        <w:t>门</w:t>
      </w:r>
      <w:r>
        <w:rPr>
          <w:rFonts w:hint="eastAsia"/>
          <w:b/>
          <w:bCs/>
          <w:sz w:val="30"/>
          <w:szCs w:val="30"/>
        </w:rPr>
        <w:t>预算绩效管理开展情况。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 预算编制环节。(1)建立完善预算编制的组织管理体制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做好预算编制的各项准备工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做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;(2 )规范预算编制程序，明确审挑要求; (3)完善编制方法，细化预算编制; (4)重大预算项目采取立项评审方式。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2. 预算批复环节。(1)明确预算批复的责任; (2)合理进行内部预算指标分解; (3)合理采用内部预算批复方法; (4 )严格控制内部预算追加调整。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700" w:lineRule="exact"/>
        <w:ind w:firstLine="602" w:firstLineChars="200"/>
        <w:textAlignment w:val="auto"/>
        <w:rPr>
          <w:rFonts w:hint="eastAsia"/>
          <w:b/>
          <w:bCs/>
          <w:sz w:val="30"/>
          <w:szCs w:val="30"/>
        </w:rPr>
      </w:pPr>
      <w:r>
        <w:rPr>
          <w:rFonts w:hint="eastAsia"/>
          <w:b/>
          <w:bCs/>
          <w:sz w:val="30"/>
          <w:szCs w:val="30"/>
        </w:rPr>
        <w:t>(</w:t>
      </w:r>
      <w:r>
        <w:rPr>
          <w:rFonts w:hint="eastAsia"/>
          <w:b/>
          <w:bCs/>
          <w:sz w:val="30"/>
          <w:szCs w:val="30"/>
          <w:lang w:eastAsia="zh-CN"/>
        </w:rPr>
        <w:t>四</w:t>
      </w:r>
      <w:r>
        <w:rPr>
          <w:rFonts w:hint="eastAsia"/>
          <w:b/>
          <w:bCs/>
          <w:sz w:val="30"/>
          <w:szCs w:val="30"/>
        </w:rPr>
        <w:t>)当年部</w:t>
      </w:r>
      <w:r>
        <w:rPr>
          <w:rFonts w:hint="eastAsia"/>
          <w:b/>
          <w:bCs/>
          <w:sz w:val="30"/>
          <w:szCs w:val="30"/>
          <w:lang w:eastAsia="zh-CN"/>
        </w:rPr>
        <w:t>门</w:t>
      </w:r>
      <w:r>
        <w:rPr>
          <w:rFonts w:hint="eastAsia"/>
          <w:b/>
          <w:bCs/>
          <w:sz w:val="30"/>
          <w:szCs w:val="30"/>
        </w:rPr>
        <w:t>预算及执行情况。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7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1.加强预算执行申请控制。执行申请应当按规定的审批权限进行审批，审批通过以后，财务部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门</w:t>
      </w:r>
      <w:r>
        <w:rPr>
          <w:rFonts w:hint="eastAsia" w:ascii="仿宋_GB2312" w:hAnsi="仿宋_GB2312" w:eastAsia="仿宋_GB2312" w:cs="仿宋_GB2312"/>
          <w:sz w:val="32"/>
          <w:szCs w:val="32"/>
        </w:rPr>
        <w:t>才能办理资金支付业务;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7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2.紧盯资金支付控制。业务部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门</w:t>
      </w:r>
      <w:r>
        <w:rPr>
          <w:rFonts w:hint="eastAsia" w:ascii="仿宋_GB2312" w:hAnsi="仿宋_GB2312" w:eastAsia="仿宋_GB2312" w:cs="仿宋_GB2312"/>
          <w:sz w:val="32"/>
          <w:szCs w:val="32"/>
        </w:rPr>
        <w:t>借款中请或报销申请按规定的审批权限和程序审批完成后，办理具体的资金支付业务;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700" w:lineRule="exact"/>
        <w:ind w:firstLine="640" w:firstLineChars="200"/>
        <w:textAlignment w:val="auto"/>
        <w:rPr>
          <w:rFonts w:hint="eastAsia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3.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</w:rPr>
        <w:t>筑牢预算执行分析控制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</w:rPr>
        <w:t>定期召开预算执行分析会议的形式，开展预算执行分析，研究解决预算执行中存在的问题，提出改进措施。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700" w:lineRule="exact"/>
        <w:textAlignment w:val="auto"/>
        <w:rPr>
          <w:rFonts w:hint="eastAsia"/>
          <w:b/>
          <w:bCs/>
          <w:sz w:val="30"/>
          <w:szCs w:val="30"/>
        </w:rPr>
      </w:pPr>
      <w:r>
        <w:rPr>
          <w:rFonts w:hint="eastAsia"/>
          <w:sz w:val="30"/>
          <w:szCs w:val="30"/>
        </w:rPr>
        <w:t xml:space="preserve"> </w:t>
      </w:r>
      <w:r>
        <w:rPr>
          <w:rFonts w:hint="eastAsia"/>
          <w:b/>
          <w:bCs/>
          <w:sz w:val="30"/>
          <w:szCs w:val="30"/>
          <w:lang w:val="en-US" w:eastAsia="zh-CN"/>
        </w:rPr>
        <w:t xml:space="preserve">   </w:t>
      </w:r>
      <w:r>
        <w:rPr>
          <w:rFonts w:hint="eastAsia"/>
          <w:b/>
          <w:bCs/>
          <w:sz w:val="30"/>
          <w:szCs w:val="30"/>
        </w:rPr>
        <w:t>二、部</w:t>
      </w:r>
      <w:r>
        <w:rPr>
          <w:rFonts w:hint="eastAsia"/>
          <w:b/>
          <w:bCs/>
          <w:sz w:val="30"/>
          <w:szCs w:val="30"/>
          <w:lang w:eastAsia="zh-CN"/>
        </w:rPr>
        <w:t>门</w:t>
      </w:r>
      <w:r>
        <w:rPr>
          <w:rFonts w:hint="eastAsia"/>
          <w:b/>
          <w:bCs/>
          <w:sz w:val="30"/>
          <w:szCs w:val="30"/>
        </w:rPr>
        <w:t>整体支出绩效实现情况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700" w:lineRule="exact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/>
          <w:b/>
          <w:bCs/>
          <w:sz w:val="30"/>
          <w:szCs w:val="30"/>
        </w:rPr>
        <w:t xml:space="preserve"> </w:t>
      </w:r>
      <w:r>
        <w:rPr>
          <w:rFonts w:hint="eastAsia"/>
          <w:b/>
          <w:bCs/>
          <w:sz w:val="30"/>
          <w:szCs w:val="30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(一)履职完成情况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7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全年支出预算资金总额62.35万元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无违反政策法规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资金支付及时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70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 xml:space="preserve">(二)厦职效果情况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7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由于机构撤销，故无项目建设资金融资率。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70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(三)社会满意度及可持续性影响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70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社会公众满意度及单位职工满意度为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100%。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700" w:lineRule="exact"/>
        <w:ind w:firstLine="602" w:firstLineChars="200"/>
        <w:textAlignment w:val="auto"/>
        <w:rPr>
          <w:rFonts w:hint="eastAsia"/>
          <w:b/>
          <w:bCs/>
          <w:sz w:val="30"/>
          <w:szCs w:val="30"/>
          <w:lang w:eastAsia="zh-CN"/>
        </w:rPr>
      </w:pPr>
      <w:r>
        <w:rPr>
          <w:rFonts w:hint="eastAsia"/>
          <w:b/>
          <w:bCs/>
          <w:sz w:val="30"/>
          <w:szCs w:val="30"/>
          <w:lang w:eastAsia="zh-CN"/>
        </w:rPr>
        <w:t>三、部门整体支出绩效中存在问题及改进措施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70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(一)主要问题及原因分析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7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 xml:space="preserve">部门撤销，人员未分流。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700" w:lineRule="exact"/>
        <w:ind w:firstLine="602" w:firstLineChars="200"/>
        <w:textAlignment w:val="auto"/>
        <w:rPr>
          <w:rFonts w:hint="eastAsia"/>
          <w:b/>
          <w:bCs/>
          <w:sz w:val="30"/>
          <w:szCs w:val="30"/>
          <w:lang w:eastAsia="zh-CN"/>
        </w:rPr>
      </w:pPr>
      <w:r>
        <w:rPr>
          <w:rFonts w:hint="eastAsia"/>
          <w:b/>
          <w:bCs/>
          <w:sz w:val="30"/>
          <w:szCs w:val="30"/>
          <w:lang w:eastAsia="zh-CN"/>
        </w:rPr>
        <w:t>(二)改进的方向和具体措施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7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1.优化预算。对各项支出进行合理分配。同时，对于超 出预算的支出要及时进行调整和纠正。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7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2.尽快将人员分流。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700" w:lineRule="exact"/>
        <w:ind w:firstLine="602" w:firstLineChars="200"/>
        <w:textAlignment w:val="auto"/>
        <w:rPr>
          <w:rFonts w:hint="eastAsia"/>
          <w:b/>
          <w:bCs/>
          <w:sz w:val="30"/>
          <w:szCs w:val="30"/>
          <w:lang w:eastAsia="zh-CN"/>
        </w:rPr>
      </w:pPr>
      <w:r>
        <w:rPr>
          <w:rFonts w:hint="eastAsia"/>
          <w:b/>
          <w:bCs/>
          <w:sz w:val="30"/>
          <w:szCs w:val="30"/>
          <w:lang w:eastAsia="zh-CN"/>
        </w:rPr>
        <w:t>四、绩效自评结果拟应用和公开情况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7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(一)绩效自评结果拟应用通过绩效自评，进一步掌握 了资金使用情况和取得的效果，发现了工作中存在的问题和不足，为今后加强资金使用管理、完善资金绩效管理、提高资金使用效益工作提供了重要的参考依据。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7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(二)绩效自评结果公开情况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7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将此次绩效自评报告在政府门户网站上予以公布，向社会公开，广泛接受群众监督。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7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7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7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华池县城市建设投资公司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700" w:lineRule="exact"/>
        <w:ind w:firstLine="640" w:firstLineChars="200"/>
        <w:jc w:val="center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2024年5月6日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decorative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F686C42"/>
    <w:multiLevelType w:val="singleLevel"/>
    <w:tmpl w:val="AF686C42"/>
    <w:lvl w:ilvl="0" w:tentative="0">
      <w:start w:val="2"/>
      <w:numFmt w:val="decimal"/>
      <w:suff w:val="nothing"/>
      <w:lvlText w:val="%1．"/>
      <w:lvlJc w:val="left"/>
    </w:lvl>
  </w:abstractNum>
  <w:abstractNum w:abstractNumId="1">
    <w:nsid w:val="03D62ECE"/>
    <w:multiLevelType w:val="multilevel"/>
    <w:tmpl w:val="03D62ECE"/>
    <w:lvl w:ilvl="0" w:tentative="0">
      <w:start w:val="1"/>
      <w:numFmt w:val="decimalEnclosedCircle"/>
      <w:lvlText w:val="%1"/>
      <w:lvlJc w:val="left"/>
      <w:pPr>
        <w:ind w:left="1000" w:hanging="360"/>
      </w:pPr>
      <w:rPr>
        <w:rFonts w:hint="default" w:ascii="仿宋" w:hAnsi="仿宋" w:eastAsia="仿宋" w:cs="仿宋"/>
      </w:rPr>
    </w:lvl>
    <w:lvl w:ilvl="1" w:tentative="0">
      <w:start w:val="1"/>
      <w:numFmt w:val="lowerLetter"/>
      <w:lvlText w:val="%2)"/>
      <w:lvlJc w:val="left"/>
      <w:pPr>
        <w:ind w:left="1520" w:hanging="440"/>
      </w:pPr>
    </w:lvl>
    <w:lvl w:ilvl="2" w:tentative="0">
      <w:start w:val="1"/>
      <w:numFmt w:val="lowerRoman"/>
      <w:lvlText w:val="%3."/>
      <w:lvlJc w:val="right"/>
      <w:pPr>
        <w:ind w:left="1960" w:hanging="440"/>
      </w:pPr>
    </w:lvl>
    <w:lvl w:ilvl="3" w:tentative="0">
      <w:start w:val="1"/>
      <w:numFmt w:val="decimal"/>
      <w:lvlText w:val="%4."/>
      <w:lvlJc w:val="left"/>
      <w:pPr>
        <w:ind w:left="2400" w:hanging="440"/>
      </w:pPr>
    </w:lvl>
    <w:lvl w:ilvl="4" w:tentative="0">
      <w:start w:val="1"/>
      <w:numFmt w:val="lowerLetter"/>
      <w:lvlText w:val="%5)"/>
      <w:lvlJc w:val="left"/>
      <w:pPr>
        <w:ind w:left="2840" w:hanging="440"/>
      </w:pPr>
    </w:lvl>
    <w:lvl w:ilvl="5" w:tentative="0">
      <w:start w:val="1"/>
      <w:numFmt w:val="lowerRoman"/>
      <w:lvlText w:val="%6."/>
      <w:lvlJc w:val="right"/>
      <w:pPr>
        <w:ind w:left="3280" w:hanging="440"/>
      </w:pPr>
    </w:lvl>
    <w:lvl w:ilvl="6" w:tentative="0">
      <w:start w:val="1"/>
      <w:numFmt w:val="decimal"/>
      <w:lvlText w:val="%7."/>
      <w:lvlJc w:val="left"/>
      <w:pPr>
        <w:ind w:left="3720" w:hanging="440"/>
      </w:pPr>
    </w:lvl>
    <w:lvl w:ilvl="7" w:tentative="0">
      <w:start w:val="1"/>
      <w:numFmt w:val="lowerLetter"/>
      <w:lvlText w:val="%8)"/>
      <w:lvlJc w:val="left"/>
      <w:pPr>
        <w:ind w:left="4160" w:hanging="440"/>
      </w:pPr>
    </w:lvl>
    <w:lvl w:ilvl="8" w:tentative="0">
      <w:start w:val="1"/>
      <w:numFmt w:val="lowerRoman"/>
      <w:lvlText w:val="%9."/>
      <w:lvlJc w:val="right"/>
      <w:pPr>
        <w:ind w:left="4600" w:hanging="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E3YTU1NGU3NTAwYWM4Y2UxNjQ2NzE3MTFlOWRmMGUifQ=="/>
  </w:docVars>
  <w:rsids>
    <w:rsidRoot w:val="00000000"/>
    <w:rsid w:val="631B2783"/>
    <w:rsid w:val="719A3F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1477</Words>
  <Characters>1567</Characters>
  <Lines>0</Lines>
  <Paragraphs>0</Paragraphs>
  <TotalTime>29</TotalTime>
  <ScaleCrop>false</ScaleCrop>
  <LinksUpToDate>false</LinksUpToDate>
  <CharactersWithSpaces>1647</CharactersWithSpaces>
  <Application>WPS Office_12.1.0.16910_F1E327BC-269C-435d-A152-05C5408002CA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2024-04-28T09:29:00Z</dcterms:created>
  <dc:creator>Administrator</dc:creator>
  <cp:lastModifiedBy>缘@缘</cp:lastModifiedBy>
  <dcterms:modified xsi:type="dcterms:W3CDTF">2024-05-07T01:40:35Z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2052-12.1.0.16910</vt:lpwstr>
  </property>
  <property fmtid="{D5CDD505-2E9C-101B-9397-08002B2CF9AE}" pid="3" name="ICV">
    <vt:lpwstr>8522FB94C87F4A34850EC3B103A30437_13</vt:lpwstr>
  </property>
</Properties>
</file>