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A570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华池县人民政府招待所</w:t>
      </w:r>
    </w:p>
    <w:p w14:paraId="3537B78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整体支出绩效自评报告</w:t>
      </w:r>
    </w:p>
    <w:p w14:paraId="1BC7005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555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72CE844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555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为进一步规范财政支出管理，牢固树立预算绩效理念，强化支出责任，提高财政资金使用效益，遵循“科学性、规范性、客观性和公正性”的原则,我单位于202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月组织力量对单位的部门预算整体支出进行了绩效评价，现将情况汇报如下：</w:t>
      </w:r>
    </w:p>
    <w:p w14:paraId="274EBDCB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</w:rPr>
        <w:t>部门概括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及单位基本情况</w:t>
      </w:r>
    </w:p>
    <w:p w14:paraId="70060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主要职责</w:t>
      </w:r>
    </w:p>
    <w:p w14:paraId="7423E279">
      <w:pPr>
        <w:pStyle w:val="6"/>
        <w:widowControl/>
        <w:shd w:val="clear" w:color="auto" w:fill="FFFFFF"/>
        <w:spacing w:before="0" w:beforeAutospacing="0" w:after="195" w:afterAutospacing="0" w:line="555" w:lineRule="atLeast"/>
        <w:rPr>
          <w:rFonts w:hint="eastAsia" w:ascii="仿宋" w:hAnsi="仿宋" w:eastAsia="仿宋" w:cs="仿宋"/>
          <w:b w:val="0"/>
          <w:bCs w:val="0"/>
          <w:color w:val="auto"/>
          <w:w w:val="100"/>
          <w:kern w:val="2"/>
          <w:sz w:val="32"/>
          <w:szCs w:val="32"/>
          <w:shd w:val="clear" w:color="000000" w:fill="FFFFFF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w w:val="100"/>
          <w:kern w:val="2"/>
          <w:sz w:val="32"/>
          <w:szCs w:val="32"/>
          <w:shd w:val="clear" w:color="000000" w:fill="FFFFFF"/>
          <w:lang w:val="en-US" w:eastAsia="zh-CN" w:bidi="ar-SA"/>
        </w:rPr>
        <w:t>华池县人民政府招待所隶属于华池县人民政府办公室，主要负责餐饮、住宿、会议培训、会议服务、停车等。</w:t>
      </w:r>
    </w:p>
    <w:p w14:paraId="1D1DD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机构设置情况</w:t>
      </w:r>
    </w:p>
    <w:p w14:paraId="30878E69">
      <w:pPr>
        <w:pStyle w:val="6"/>
        <w:widowControl/>
        <w:shd w:val="clear" w:color="auto" w:fill="FFFFFF"/>
        <w:spacing w:before="0" w:beforeAutospacing="0" w:after="195" w:afterAutospacing="0" w:line="555" w:lineRule="atLeast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eastAsia="zh-CN"/>
        </w:rPr>
        <w:t>（1）机关内设机构：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华池县人民政府招待所内设机构4个股室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包括：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餐饮部、客房部、后勤部、办公室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8A640AC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eastAsia="zh-CN"/>
        </w:rPr>
        <w:t>）人员情况：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年度，我单位共有编制2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名，其中：行政编制0名，参公事业编制0名，事业编制2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名，后勤编制0名。财政供养总人数21人，其中：在职人员2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人，雇佣人员1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08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人，退休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人，遗属0人。</w:t>
      </w:r>
    </w:p>
    <w:p w14:paraId="5D70EBE7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/>
        </w:rPr>
      </w:pPr>
    </w:p>
    <w:p w14:paraId="5335EBF7">
      <w:pPr>
        <w:pStyle w:val="6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  <w:t>二、一般公共预算支出情况</w:t>
      </w:r>
    </w:p>
    <w:p w14:paraId="3C7AA014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5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023年，我单位一般公共预算2228.81万元，支出2228.81万元，完成年初预算的100%。其中基本支出2228.81万元，占总支出的100%；项目支出0万元，占总支出的0%。</w:t>
      </w:r>
    </w:p>
    <w:p w14:paraId="44B1408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）项目支出情况</w:t>
      </w:r>
    </w:p>
    <w:p w14:paraId="47AA22D0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2023年我单位无项目支出。</w:t>
      </w:r>
    </w:p>
    <w:p w14:paraId="28798F9C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(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)“三公”经费情况</w:t>
      </w:r>
    </w:p>
    <w:p w14:paraId="02586920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  <w:lang w:val="en-US" w:eastAsia="zh-CN"/>
        </w:rPr>
        <w:t>华池县人民政府招待所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“三公”经费支出见下表：单位：元</w:t>
      </w:r>
    </w:p>
    <w:tbl>
      <w:tblPr>
        <w:tblStyle w:val="7"/>
        <w:tblW w:w="8818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auto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18"/>
        <w:gridCol w:w="1422"/>
        <w:gridCol w:w="1416"/>
        <w:gridCol w:w="1416"/>
        <w:gridCol w:w="1373"/>
        <w:gridCol w:w="1373"/>
      </w:tblGrid>
      <w:tr w14:paraId="6E412657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82" w:hRule="atLeast"/>
        </w:trPr>
        <w:tc>
          <w:tcPr>
            <w:tcW w:w="18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485C9D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项   目</w:t>
            </w:r>
          </w:p>
        </w:tc>
        <w:tc>
          <w:tcPr>
            <w:tcW w:w="14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315BDD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年决算金额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DA88B2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2022年预算金额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A6E5FB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2022年决算金额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0F77BC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预算完成率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F86254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5C0134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33" w:hRule="atLeast"/>
        </w:trPr>
        <w:tc>
          <w:tcPr>
            <w:tcW w:w="18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DF5D46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公务接待费</w:t>
            </w:r>
          </w:p>
        </w:tc>
        <w:tc>
          <w:tcPr>
            <w:tcW w:w="14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DEEA28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330790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169F37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A805D8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%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6298E4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07C295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714" w:hRule="atLeast"/>
        </w:trPr>
        <w:tc>
          <w:tcPr>
            <w:tcW w:w="18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D77B08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公车运行维护费</w:t>
            </w:r>
          </w:p>
        </w:tc>
        <w:tc>
          <w:tcPr>
            <w:tcW w:w="14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6AAC1B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43EA17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79FC81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2AD3D9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767DDA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F619D4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01" w:hRule="atLeast"/>
        </w:trPr>
        <w:tc>
          <w:tcPr>
            <w:tcW w:w="18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7094BE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因公出国出境费</w:t>
            </w:r>
          </w:p>
        </w:tc>
        <w:tc>
          <w:tcPr>
            <w:tcW w:w="14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15EAD7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53F986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46207B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9546D4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BE174C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624AA5F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46" w:hRule="atLeast"/>
        </w:trPr>
        <w:tc>
          <w:tcPr>
            <w:tcW w:w="18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02B34D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合  计</w:t>
            </w:r>
          </w:p>
        </w:tc>
        <w:tc>
          <w:tcPr>
            <w:tcW w:w="14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631B1A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E06131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425FFD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0992D0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%</w:t>
            </w:r>
          </w:p>
        </w:tc>
        <w:tc>
          <w:tcPr>
            <w:tcW w:w="13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597D99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firstLine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 w14:paraId="0391371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2023年“三公”经费支出0万元，其中公务用车购置和维护经费0万元，公务接待费0万元。</w:t>
      </w:r>
    </w:p>
    <w:p w14:paraId="60579ACA">
      <w:pPr>
        <w:pStyle w:val="6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  <w:t>三、政府性基金预算支出情况</w:t>
      </w:r>
    </w:p>
    <w:p w14:paraId="064ABA3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我单位无政府性基金。</w:t>
      </w:r>
    </w:p>
    <w:p w14:paraId="4A1340D6">
      <w:pPr>
        <w:pStyle w:val="6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  <w:lang w:val="en-US" w:eastAsia="zh-CN"/>
        </w:rPr>
        <w:t>四、国有资本经营预算支出情况</w:t>
      </w:r>
    </w:p>
    <w:p w14:paraId="532BCDDA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320" w:firstLineChars="1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我单位无国有资本经营。</w:t>
      </w:r>
    </w:p>
    <w:p w14:paraId="15DA5AF3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、部门整体支出绩效情况</w:t>
      </w:r>
    </w:p>
    <w:p w14:paraId="2E9F8FBF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（一）部门绩效总目标</w:t>
      </w:r>
    </w:p>
    <w:p w14:paraId="310D40E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1、合理安排支出，保障部门工作正常运转。</w:t>
      </w:r>
    </w:p>
    <w:p w14:paraId="0357B14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2、加强我馆自身建设、强化厉行节约，降低行政运行成本，提高资金使用效益，落实“过紧日子”要求。</w:t>
      </w:r>
    </w:p>
    <w:p w14:paraId="74D1B714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（二）部门整体支出情况</w:t>
      </w:r>
    </w:p>
    <w:p w14:paraId="5CDAD09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我单位部门整体支出2228.81万元，其中基本支出2228.81万元，占总支出的100%；项目支出0万元，占总支出的0%。</w:t>
      </w:r>
    </w:p>
    <w:p w14:paraId="7E4C507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1、工资福利支出126.46万元；</w:t>
      </w:r>
    </w:p>
    <w:p w14:paraId="4C76EAB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2、商品和服务支出1659.24万元；</w:t>
      </w:r>
    </w:p>
    <w:p w14:paraId="0CD8DE4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3、对个人和家庭的补助393.11万元万元；</w:t>
      </w:r>
    </w:p>
    <w:p w14:paraId="4DCF05B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4、其他支出50万元。</w:t>
      </w:r>
    </w:p>
    <w:p w14:paraId="5FF0559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根据2023年决算数据，财政拨款收入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2228.81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万元，支出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2228.81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万元，全部为基本支出，计划执行度为100%。</w:t>
      </w:r>
    </w:p>
    <w:p w14:paraId="3A543380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（三）部门整体支出和项目支出管理</w:t>
      </w:r>
    </w:p>
    <w:p w14:paraId="4F39AFB3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960" w:firstLineChars="3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建立健全单位管理制度，强化财务制度约束。根据新修订的地方组织法，修订完成《华池县人民政府招待所规章制度汇编》。进一步细化、完善国公务接待、办公费、差旅费、培训费、奖金、补贴等项目开支制度，并对财务公开与监督检查作出公开承诺，按照国家财经法律法规和单位各项规章制度开展工作。所有的经济事项在制度的框架内运行，使单位管理制度、财务管理、会计核算进一步规范。</w:t>
      </w:r>
    </w:p>
    <w:p w14:paraId="1D9AE3EE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960" w:firstLineChars="3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、严格预算支出管理。在支出预算编制上，人员经费按照配置定额，逐人核定编制，公用经费分类分档，按定额编制；根据“总量控制、计划管理”的要求从严控制行政经费，压缩公务费开支，严格控制资产的配置严格政府采购，按照预算科目和项目资金的规定使用财政资金，保障部门整体支出的规范化、制度化。</w:t>
      </w:r>
    </w:p>
    <w:p w14:paraId="59B766FE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3.执行资金预算化管理，积极推进部门整体支出、项目支出绩效管理。负责组织、协调各部门预算绩效管理；组织编制部门预算和绩效目标，对项目绩效目标完成情况进行总结分析，撰写绩效报告送财务室；根据绩效评价结果改进预算绩效管理，通过资金预算编制、调整、执行、控制、绩效评价，增强财政资金投入、产出效能，提高财政资金使用效益。</w:t>
      </w:r>
    </w:p>
    <w:p w14:paraId="29A27D47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4.成立了单位内部控制领导小组，由一把手直接领导，负责本单位内控制度的建设、落实，在对财务风险自查评估的基础上，发现薄弱环节，确立风险应对策略。</w:t>
      </w:r>
    </w:p>
    <w:p w14:paraId="18DB5C6C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(四)资产管理情况</w:t>
      </w:r>
    </w:p>
    <w:p w14:paraId="1555A4C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建立了资产管理制度，单位所有公共财产，按实物进行登记造册，明确责任人，每年由财务室人员核对一次。人事变动时应进行清理并办好移交手续。严禁侵占公物，损公肥私。因管理失职或任意所为造成公物遗失和损坏的要照价赔偿。闲置的资产，统一调节使用，发挥其效益，对不能用的资产，采取先处置后购置，保证了资产的安全高效。</w:t>
      </w:r>
    </w:p>
    <w:p w14:paraId="2472290B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(五) 202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年部门绩效目标完成情况</w:t>
      </w:r>
    </w:p>
    <w:p w14:paraId="0E7380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我单位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始终坚持以习近平新时代中国特色社会主义思想为指导，深入贯彻学习二十大全会精神，深入落实习近平总书记对甘肃重要指示要求，以开展优化营商环境活动和“两型”机关创建为载体，</w:t>
      </w:r>
      <w:r>
        <w:rPr>
          <w:rFonts w:hint="eastAsia" w:ascii="仿宋_GB2312" w:hAnsi="仿宋" w:eastAsia="仿宋_GB2312" w:cs="仿宋"/>
          <w:sz w:val="32"/>
          <w:szCs w:val="32"/>
        </w:rPr>
        <w:t>接待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省军区工作组，两会承办等各类会议培训，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lang w:val="en-US" w:eastAsia="zh-CN"/>
        </w:rPr>
        <w:t>同时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加强事中事后监管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各项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工作取得了一定成效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完成了2023年部门整体绩效目标。</w:t>
      </w:r>
    </w:p>
    <w:p w14:paraId="6DD31D1A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(六)绩效评价结论</w:t>
      </w:r>
    </w:p>
    <w:p w14:paraId="2546005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1、整体支出绩效评价结果</w:t>
      </w:r>
    </w:p>
    <w:p w14:paraId="4FC6E7B9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根据现场绩效评价情况，结合单位自评结果，经综合评定，华池县人民政府招待所2023年度部门资金整体支出绩效评价得分98分，评价等级为“优”（具体评分情况详见2023年单位整体支出绩效自评表）。</w:t>
      </w:r>
    </w:p>
    <w:p w14:paraId="7F94001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2、整体支出绩效评价计分情况</w:t>
      </w:r>
    </w:p>
    <w:p w14:paraId="76E67AC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1）整体支出规模指标计10分，实际得分10分。</w:t>
      </w:r>
    </w:p>
    <w:p w14:paraId="48F1F1B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（2）管理指标计25分，实际得分25分。</w:t>
      </w:r>
    </w:p>
    <w:p w14:paraId="047D73E9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（3）履职效果指标计45分，实际得分45分。</w:t>
      </w:r>
    </w:p>
    <w:p w14:paraId="30028BF3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（4）能力建设指标计20分，实际得分10分。</w:t>
      </w:r>
    </w:p>
    <w:p w14:paraId="033EB740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七、存在的问题</w:t>
      </w:r>
    </w:p>
    <w:p w14:paraId="467BB14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1.预算绩效指标体系存在进一步完善的空间，我单位现建立的各项预算绩效目标指标仍有不科学、不细致的地方，影响了预算绩效评价的结果。</w:t>
      </w:r>
    </w:p>
    <w:p w14:paraId="55BAE34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2.预算绩效管理经验需要进一步积累。因为预算绩效管理工作具有政策性强、专业性强、涉及面广、操作难度大等特点，经验不足，导致工作多走许多弯路，影响工作效果。</w:t>
      </w:r>
    </w:p>
    <w:p w14:paraId="2056876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八、改进措施和有关建议</w:t>
      </w:r>
    </w:p>
    <w:p w14:paraId="1CC7B12A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我单位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。建立健全财政各项资金管理制度，严格执行财务管理制度，做到了财务处理及时，会计核算规范，严格按照计划进度支付。各项目资金严格实行专款专用，保证更规范严要求使用资金。在下年度的预算编制工作中，我们会时刻跟踪支出的进度，更好地完成预算资金，做好绩效评价工作。</w:t>
      </w:r>
    </w:p>
    <w:p w14:paraId="593306E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</w:p>
    <w:p w14:paraId="382F86CB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7A3C488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420"/>
        <w:jc w:val="righ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0FE747DF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480" w:firstLineChars="14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 xml:space="preserve">华池县人民政府招待所   </w:t>
      </w:r>
    </w:p>
    <w:p w14:paraId="761C9EF2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0" w:firstLineChars="1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2024年5月15日</w:t>
      </w:r>
    </w:p>
    <w:p w14:paraId="2A88CF73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firstLine="42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B578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CD961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CD961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ODhkZTg0Yjg5YjE5MDE2NTVhMjdhOWY2NDhiZjEifQ=="/>
  </w:docVars>
  <w:rsids>
    <w:rsidRoot w:val="6D332EEB"/>
    <w:rsid w:val="011F278D"/>
    <w:rsid w:val="02DA4630"/>
    <w:rsid w:val="03806F86"/>
    <w:rsid w:val="03D503B6"/>
    <w:rsid w:val="097F1A8E"/>
    <w:rsid w:val="09DD68F3"/>
    <w:rsid w:val="0A4E2F3A"/>
    <w:rsid w:val="0E806DEB"/>
    <w:rsid w:val="10A73DA4"/>
    <w:rsid w:val="11AE2F10"/>
    <w:rsid w:val="120C46A9"/>
    <w:rsid w:val="12872AB0"/>
    <w:rsid w:val="13A24CF6"/>
    <w:rsid w:val="13B64A24"/>
    <w:rsid w:val="15BE5D7C"/>
    <w:rsid w:val="16B65CD5"/>
    <w:rsid w:val="187A6469"/>
    <w:rsid w:val="1A105DC1"/>
    <w:rsid w:val="1A314DD8"/>
    <w:rsid w:val="226C1599"/>
    <w:rsid w:val="29CF1324"/>
    <w:rsid w:val="2A5974B1"/>
    <w:rsid w:val="322C26C3"/>
    <w:rsid w:val="32E15301"/>
    <w:rsid w:val="33817C71"/>
    <w:rsid w:val="33952031"/>
    <w:rsid w:val="33BD4C1C"/>
    <w:rsid w:val="345E036E"/>
    <w:rsid w:val="345E211C"/>
    <w:rsid w:val="35575A35"/>
    <w:rsid w:val="36BB0E46"/>
    <w:rsid w:val="38B022B1"/>
    <w:rsid w:val="39EC5423"/>
    <w:rsid w:val="3C824080"/>
    <w:rsid w:val="3D9868D4"/>
    <w:rsid w:val="3E52518D"/>
    <w:rsid w:val="3E8B5826"/>
    <w:rsid w:val="3EC979A6"/>
    <w:rsid w:val="493556E9"/>
    <w:rsid w:val="4A19679F"/>
    <w:rsid w:val="4E775E5C"/>
    <w:rsid w:val="5299416C"/>
    <w:rsid w:val="59170968"/>
    <w:rsid w:val="614852C6"/>
    <w:rsid w:val="61E0223F"/>
    <w:rsid w:val="62206ADF"/>
    <w:rsid w:val="627806C9"/>
    <w:rsid w:val="63CC530E"/>
    <w:rsid w:val="662C5623"/>
    <w:rsid w:val="67885A8C"/>
    <w:rsid w:val="6A717754"/>
    <w:rsid w:val="6D332EEB"/>
    <w:rsid w:val="6D5B12DE"/>
    <w:rsid w:val="70025AB1"/>
    <w:rsid w:val="72C54B39"/>
    <w:rsid w:val="73EA06D3"/>
    <w:rsid w:val="73F12089"/>
    <w:rsid w:val="74A76AE1"/>
    <w:rsid w:val="7701449A"/>
    <w:rsid w:val="78D43917"/>
    <w:rsid w:val="79E246B1"/>
    <w:rsid w:val="7C773348"/>
    <w:rsid w:val="7D7E4262"/>
    <w:rsid w:val="7DD44F09"/>
    <w:rsid w:val="7F90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weixinfont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2373</Words>
  <Characters>2480</Characters>
  <Lines>0</Lines>
  <Paragraphs>0</Paragraphs>
  <TotalTime>3</TotalTime>
  <ScaleCrop>false</ScaleCrop>
  <LinksUpToDate>false</LinksUpToDate>
  <CharactersWithSpaces>2491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政务中心齐怀斌</cp:lastModifiedBy>
  <cp:lastPrinted>2024-09-13T03:17:00Z</cp:lastPrinted>
  <dcterms:modified xsi:type="dcterms:W3CDTF">2024-09-20T01:38:18Z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0F100D3768864396812C85731FD1903F_13</vt:lpwstr>
  </property>
</Properties>
</file>