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46336">
      <w:pPr>
        <w:spacing w:before="100" w:beforeLines="0" w:after="100" w:afterLines="0"/>
        <w:jc w:val="center"/>
        <w:rPr>
          <w:rFonts w:hint="eastAsia" w:ascii="宋体" w:hAnsi="宋体"/>
          <w:sz w:val="24"/>
          <w:szCs w:val="24"/>
          <w:lang w:val="zh-CN"/>
        </w:rPr>
      </w:pPr>
    </w:p>
    <w:p w14:paraId="09742266">
      <w:pPr>
        <w:spacing w:before="100" w:beforeLines="0" w:after="100" w:afterLines="0"/>
        <w:jc w:val="center"/>
        <w:rPr>
          <w:rFonts w:hint="eastAsia" w:ascii="宋体" w:hAnsi="宋体"/>
          <w:sz w:val="24"/>
          <w:szCs w:val="24"/>
          <w:lang w:val="zh-CN"/>
        </w:rPr>
      </w:pPr>
    </w:p>
    <w:p w14:paraId="780BC73C">
      <w:pPr>
        <w:spacing w:before="100" w:beforeLines="0" w:after="100" w:afterLines="0"/>
        <w:jc w:val="center"/>
        <w:rPr>
          <w:rFonts w:hint="eastAsia" w:ascii="宋体" w:hAnsi="宋体"/>
          <w:sz w:val="24"/>
          <w:szCs w:val="24"/>
          <w:lang w:val="zh-CN"/>
        </w:rPr>
      </w:pPr>
    </w:p>
    <w:p w14:paraId="1585C8EE">
      <w:pPr>
        <w:spacing w:before="100" w:beforeLines="0" w:after="100" w:afterLines="0"/>
        <w:jc w:val="center"/>
        <w:rPr>
          <w:rFonts w:hint="eastAsia" w:ascii="宋体" w:hAnsi="宋体"/>
          <w:sz w:val="24"/>
          <w:szCs w:val="24"/>
          <w:lang w:val="zh-CN"/>
        </w:rPr>
      </w:pPr>
    </w:p>
    <w:p w14:paraId="18568A70">
      <w:pPr>
        <w:spacing w:before="100" w:beforeLines="0" w:after="100" w:afterLines="0"/>
        <w:jc w:val="both"/>
        <w:rPr>
          <w:rFonts w:hint="eastAsia" w:ascii="宋体" w:hAnsi="宋体"/>
          <w:sz w:val="24"/>
          <w:szCs w:val="24"/>
          <w:lang w:val="zh-CN"/>
        </w:rPr>
      </w:pPr>
    </w:p>
    <w:p w14:paraId="220CFF4F">
      <w:pPr>
        <w:spacing w:before="100" w:beforeLines="0" w:after="100" w:afterLines="0"/>
        <w:jc w:val="center"/>
        <w:rPr>
          <w:rFonts w:hint="eastAsia" w:ascii="宋体" w:hAnsi="宋体"/>
          <w:sz w:val="24"/>
          <w:szCs w:val="24"/>
          <w:lang w:val="zh-CN"/>
        </w:rPr>
      </w:pPr>
    </w:p>
    <w:p w14:paraId="19583C1F">
      <w:pPr>
        <w:spacing w:before="100" w:beforeLines="0" w:after="100" w:afterLines="0"/>
        <w:jc w:val="center"/>
        <w:rPr>
          <w:rFonts w:hint="eastAsia" w:ascii="宋体" w:hAnsi="宋体"/>
          <w:sz w:val="24"/>
          <w:szCs w:val="24"/>
          <w:lang w:val="zh-CN"/>
        </w:rPr>
      </w:pPr>
    </w:p>
    <w:p w14:paraId="15CB57B3">
      <w:pPr>
        <w:spacing w:before="100" w:beforeLines="0" w:after="100" w:afterLines="0"/>
        <w:jc w:val="center"/>
        <w:rPr>
          <w:rFonts w:hint="eastAsia" w:ascii="宋体" w:hAnsi="宋体"/>
          <w:sz w:val="24"/>
          <w:szCs w:val="24"/>
          <w:lang w:val="zh-CN"/>
        </w:rPr>
      </w:pPr>
    </w:p>
    <w:p w14:paraId="08FB4D50">
      <w:pPr>
        <w:spacing w:before="100" w:beforeLines="0" w:after="100" w:afterLines="0"/>
        <w:jc w:val="center"/>
        <w:rPr>
          <w:rFonts w:hint="eastAsia" w:ascii="宋体" w:hAnsi="宋体" w:eastAsia="宋体" w:cs="宋体"/>
          <w:b/>
          <w:bCs/>
          <w:sz w:val="44"/>
          <w:szCs w:val="44"/>
          <w:lang w:val="zh-CN"/>
        </w:rPr>
      </w:pPr>
      <w:r>
        <w:rPr>
          <w:rFonts w:hint="eastAsia" w:ascii="宋体" w:hAnsi="宋体" w:eastAsia="宋体" w:cs="宋体"/>
          <w:b/>
          <w:bCs/>
          <w:sz w:val="44"/>
          <w:szCs w:val="44"/>
          <w:lang w:val="zh-CN"/>
        </w:rPr>
        <w:t>2023年度</w:t>
      </w:r>
    </w:p>
    <w:p w14:paraId="4E346895">
      <w:pPr>
        <w:spacing w:before="100" w:beforeLines="0" w:after="100" w:afterLines="0"/>
        <w:jc w:val="center"/>
        <w:rPr>
          <w:rFonts w:hint="eastAsia" w:ascii="宋体" w:hAnsi="宋体" w:eastAsia="宋体" w:cs="宋体"/>
          <w:b/>
          <w:bCs/>
          <w:sz w:val="44"/>
          <w:szCs w:val="44"/>
          <w:lang w:val="zh-CN"/>
        </w:rPr>
      </w:pPr>
    </w:p>
    <w:p w14:paraId="48BAE7AB">
      <w:pPr>
        <w:spacing w:before="100" w:beforeLines="0" w:after="100" w:afterLines="0"/>
        <w:jc w:val="center"/>
        <w:rPr>
          <w:rFonts w:hint="eastAsia" w:ascii="宋体" w:hAnsi="宋体" w:eastAsia="宋体" w:cs="宋体"/>
          <w:b/>
          <w:bCs/>
          <w:sz w:val="44"/>
          <w:szCs w:val="44"/>
          <w:lang w:val="zh-CN"/>
        </w:rPr>
      </w:pPr>
      <w:r>
        <w:rPr>
          <w:rFonts w:hint="eastAsia" w:ascii="宋体" w:hAnsi="宋体" w:eastAsia="宋体" w:cs="宋体"/>
          <w:b/>
          <w:bCs/>
          <w:sz w:val="44"/>
          <w:szCs w:val="44"/>
          <w:lang w:val="zh-CN"/>
        </w:rPr>
        <w:t>华池县道路运输管理局部门决算</w:t>
      </w:r>
    </w:p>
    <w:p w14:paraId="75CC09F7">
      <w:pPr>
        <w:spacing w:before="100" w:beforeLines="0" w:after="100" w:afterLines="0"/>
        <w:jc w:val="center"/>
        <w:rPr>
          <w:rFonts w:hint="eastAsia" w:ascii="宋体" w:hAnsi="宋体" w:eastAsia="宋体" w:cs="宋体"/>
          <w:b/>
          <w:bCs/>
          <w:sz w:val="36"/>
          <w:szCs w:val="36"/>
          <w:lang w:val="zh-CN"/>
        </w:rPr>
      </w:pPr>
    </w:p>
    <w:p w14:paraId="063DE651">
      <w:pPr>
        <w:spacing w:before="100" w:beforeLines="0" w:after="100" w:afterLines="0"/>
        <w:jc w:val="both"/>
        <w:rPr>
          <w:rFonts w:hint="eastAsia" w:ascii="宋体" w:hAnsi="宋体"/>
          <w:sz w:val="24"/>
          <w:szCs w:val="24"/>
          <w:lang w:val="en-US" w:eastAsia="zh-CN"/>
        </w:rPr>
      </w:pPr>
      <w:r>
        <w:rPr>
          <w:rFonts w:hint="eastAsia" w:ascii="宋体" w:hAnsi="宋体"/>
          <w:sz w:val="24"/>
          <w:szCs w:val="24"/>
          <w:lang w:val="en-US" w:eastAsia="zh-CN"/>
        </w:rPr>
        <w:t xml:space="preserve">  </w:t>
      </w:r>
    </w:p>
    <w:p w14:paraId="3FC7DEC3">
      <w:pPr>
        <w:spacing w:before="100" w:beforeLines="0" w:after="100" w:afterLines="0"/>
        <w:jc w:val="both"/>
        <w:rPr>
          <w:rFonts w:hint="eastAsia" w:ascii="宋体" w:hAnsi="宋体"/>
          <w:sz w:val="24"/>
          <w:szCs w:val="24"/>
          <w:lang w:val="en-US" w:eastAsia="zh-CN"/>
        </w:rPr>
      </w:pPr>
    </w:p>
    <w:p w14:paraId="0372B288">
      <w:pPr>
        <w:spacing w:before="100" w:beforeLines="0" w:after="100" w:afterLines="0"/>
        <w:jc w:val="both"/>
        <w:rPr>
          <w:rFonts w:hint="default" w:ascii="宋体" w:hAnsi="宋体"/>
          <w:sz w:val="24"/>
          <w:szCs w:val="24"/>
          <w:lang w:val="en-US" w:eastAsia="zh-CN"/>
        </w:rPr>
      </w:pPr>
    </w:p>
    <w:p w14:paraId="1E26709C">
      <w:pPr>
        <w:spacing w:before="100" w:beforeLines="0" w:after="100" w:afterLines="0"/>
        <w:jc w:val="center"/>
        <w:rPr>
          <w:rFonts w:hint="eastAsia" w:ascii="宋体" w:hAnsi="宋体"/>
          <w:sz w:val="24"/>
          <w:szCs w:val="24"/>
          <w:lang w:val="zh-CN"/>
        </w:rPr>
      </w:pPr>
    </w:p>
    <w:p w14:paraId="1219C8B4">
      <w:pPr>
        <w:spacing w:before="100" w:beforeLines="0" w:after="100" w:afterLines="0"/>
        <w:jc w:val="center"/>
        <w:rPr>
          <w:rFonts w:hint="eastAsia" w:ascii="宋体" w:hAnsi="宋体"/>
          <w:sz w:val="24"/>
          <w:szCs w:val="24"/>
          <w:lang w:val="zh-CN"/>
        </w:rPr>
      </w:pPr>
    </w:p>
    <w:p w14:paraId="17C7CF84">
      <w:pPr>
        <w:spacing w:before="100" w:beforeLines="0" w:after="100" w:afterLines="0"/>
        <w:jc w:val="center"/>
        <w:rPr>
          <w:rFonts w:hint="eastAsia" w:ascii="宋体" w:hAnsi="宋体"/>
          <w:sz w:val="24"/>
          <w:szCs w:val="24"/>
          <w:lang w:val="zh-CN"/>
        </w:rPr>
      </w:pPr>
    </w:p>
    <w:p w14:paraId="1C54FD75">
      <w:pPr>
        <w:spacing w:before="100" w:beforeLines="0" w:after="100" w:afterLines="0"/>
        <w:jc w:val="center"/>
        <w:rPr>
          <w:rFonts w:hint="eastAsia" w:ascii="宋体" w:hAnsi="宋体"/>
          <w:sz w:val="24"/>
          <w:szCs w:val="24"/>
          <w:lang w:val="zh-CN"/>
        </w:rPr>
      </w:pPr>
    </w:p>
    <w:p w14:paraId="69744EA8">
      <w:pPr>
        <w:spacing w:before="100" w:beforeLines="0" w:after="100" w:afterLines="0"/>
        <w:jc w:val="center"/>
        <w:rPr>
          <w:rFonts w:hint="eastAsia" w:ascii="宋体" w:hAnsi="宋体"/>
          <w:sz w:val="24"/>
          <w:szCs w:val="24"/>
          <w:lang w:val="zh-CN"/>
        </w:rPr>
      </w:pPr>
    </w:p>
    <w:p w14:paraId="23B597EF">
      <w:pPr>
        <w:spacing w:before="100" w:beforeLines="0" w:after="100" w:afterLines="0"/>
        <w:jc w:val="center"/>
        <w:rPr>
          <w:rFonts w:hint="eastAsia" w:ascii="宋体" w:hAnsi="宋体"/>
          <w:sz w:val="24"/>
          <w:szCs w:val="24"/>
          <w:lang w:val="zh-CN"/>
        </w:rPr>
      </w:pPr>
    </w:p>
    <w:p w14:paraId="40B9CBE7">
      <w:pPr>
        <w:spacing w:before="100" w:beforeLines="0" w:after="100" w:afterLines="0"/>
        <w:jc w:val="center"/>
        <w:rPr>
          <w:rFonts w:hint="eastAsia" w:ascii="宋体" w:hAnsi="宋体"/>
          <w:sz w:val="24"/>
          <w:szCs w:val="24"/>
          <w:lang w:val="zh-CN"/>
        </w:rPr>
      </w:pPr>
    </w:p>
    <w:p w14:paraId="58DE5FBF">
      <w:pPr>
        <w:spacing w:before="100" w:beforeLines="0" w:after="100" w:afterLines="0"/>
        <w:jc w:val="center"/>
        <w:rPr>
          <w:rFonts w:hint="eastAsia" w:ascii="宋体" w:hAnsi="宋体"/>
          <w:sz w:val="24"/>
          <w:szCs w:val="24"/>
          <w:lang w:val="zh-CN"/>
        </w:rPr>
      </w:pPr>
    </w:p>
    <w:p w14:paraId="1CEC83F6">
      <w:pPr>
        <w:spacing w:before="100" w:beforeLines="0" w:after="100" w:afterLines="0"/>
        <w:jc w:val="center"/>
        <w:rPr>
          <w:rFonts w:hint="eastAsia" w:ascii="宋体" w:hAnsi="宋体"/>
          <w:sz w:val="24"/>
          <w:szCs w:val="24"/>
          <w:lang w:val="zh-CN"/>
        </w:rPr>
      </w:pPr>
    </w:p>
    <w:p w14:paraId="738BC8CA">
      <w:pPr>
        <w:spacing w:before="100" w:beforeLines="0" w:after="100" w:afterLines="0"/>
        <w:jc w:val="center"/>
        <w:rPr>
          <w:rFonts w:hint="eastAsia" w:ascii="宋体" w:hAnsi="宋体"/>
          <w:sz w:val="24"/>
          <w:szCs w:val="24"/>
          <w:lang w:val="zh-CN"/>
        </w:rPr>
      </w:pPr>
    </w:p>
    <w:p w14:paraId="00021772">
      <w:pPr>
        <w:spacing w:before="100" w:beforeLines="0" w:after="100" w:afterLines="0"/>
        <w:jc w:val="center"/>
        <w:rPr>
          <w:rFonts w:hint="eastAsia" w:ascii="宋体" w:hAnsi="宋体"/>
          <w:sz w:val="24"/>
          <w:szCs w:val="24"/>
          <w:lang w:val="zh-CN"/>
        </w:rPr>
      </w:pPr>
    </w:p>
    <w:p w14:paraId="63FC987F">
      <w:pPr>
        <w:spacing w:before="100" w:beforeLines="0" w:after="100" w:afterLines="0"/>
        <w:jc w:val="center"/>
        <w:rPr>
          <w:rFonts w:hint="eastAsia" w:ascii="宋体" w:hAnsi="宋体"/>
          <w:sz w:val="24"/>
          <w:szCs w:val="24"/>
          <w:lang w:val="zh-CN"/>
        </w:rPr>
      </w:pPr>
    </w:p>
    <w:p w14:paraId="6A11010D">
      <w:pPr>
        <w:spacing w:before="100" w:beforeLines="0" w:after="100" w:afterLines="0"/>
        <w:jc w:val="center"/>
        <w:rPr>
          <w:rFonts w:hint="eastAsia" w:ascii="宋体" w:hAnsi="宋体"/>
          <w:sz w:val="24"/>
          <w:szCs w:val="24"/>
          <w:lang w:val="zh-CN"/>
        </w:rPr>
      </w:pPr>
    </w:p>
    <w:p w14:paraId="28E0B4F0">
      <w:pPr>
        <w:spacing w:before="100" w:beforeLines="0" w:after="100" w:afterLines="0"/>
        <w:jc w:val="center"/>
        <w:rPr>
          <w:rFonts w:hint="eastAsia" w:ascii="宋体" w:hAnsi="宋体"/>
          <w:sz w:val="24"/>
          <w:szCs w:val="24"/>
          <w:lang w:val="zh-CN"/>
        </w:rPr>
      </w:pPr>
    </w:p>
    <w:p w14:paraId="1D2AF7EC">
      <w:pPr>
        <w:spacing w:before="100" w:beforeLines="0" w:after="100" w:afterLines="0"/>
        <w:jc w:val="center"/>
        <w:rPr>
          <w:rFonts w:hint="eastAsia" w:ascii="宋体" w:hAnsi="宋体"/>
          <w:sz w:val="24"/>
          <w:szCs w:val="24"/>
          <w:lang w:val="zh-CN"/>
        </w:rPr>
      </w:pPr>
    </w:p>
    <w:p w14:paraId="0D88CD4A">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02F4B90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207EC63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2B06630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56CE9DA0">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0680F25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7D897B3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22526E6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7542F81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074FFB7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57F0254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0EC751D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285E01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1A63427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7B248EF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43EB88B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1110BDF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667644D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23B794F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0ED22E8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0270045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113F7F71">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16176F7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78F0B36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7C713678">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404B064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7832E93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26C20ED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0555700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6AA838D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0607DE26">
      <w:pPr>
        <w:spacing w:before="100" w:beforeLines="0" w:after="100" w:afterLines="0"/>
        <w:jc w:val="both"/>
        <w:rPr>
          <w:rFonts w:hint="eastAsia" w:ascii="宋体" w:hAnsi="宋体"/>
          <w:sz w:val="24"/>
          <w:szCs w:val="24"/>
          <w:lang w:val="zh-CN"/>
        </w:rPr>
      </w:pPr>
    </w:p>
    <w:p w14:paraId="492C5420">
      <w:pPr>
        <w:spacing w:before="100" w:beforeLines="0" w:after="100" w:afterLines="0"/>
        <w:jc w:val="center"/>
        <w:rPr>
          <w:rFonts w:hint="eastAsia" w:ascii="宋体" w:hAnsi="宋体"/>
          <w:sz w:val="24"/>
          <w:szCs w:val="24"/>
          <w:lang w:val="zh-CN"/>
        </w:rPr>
      </w:pPr>
    </w:p>
    <w:p w14:paraId="7DBB461D">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7DEF6A00">
      <w:pPr>
        <w:keepNext w:val="0"/>
        <w:keepLines w:val="0"/>
        <w:pageBreakBefore w:val="0"/>
        <w:widowControl/>
        <w:kinsoku/>
        <w:wordWrap/>
        <w:overflowPunct/>
        <w:topLinePunct w:val="0"/>
        <w:autoSpaceDE/>
        <w:autoSpaceDN/>
        <w:bidi w:val="0"/>
        <w:adjustRightInd/>
        <w:snapToGrid/>
        <w:spacing w:before="100" w:beforeLines="0" w:after="100" w:afterLines="0" w:line="640" w:lineRule="exact"/>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14:paraId="49775171">
      <w:pPr>
        <w:keepNext w:val="0"/>
        <w:keepLines w:val="0"/>
        <w:pageBreakBefore w:val="0"/>
        <w:widowControl/>
        <w:kinsoku/>
        <w:wordWrap/>
        <w:overflowPunct/>
        <w:topLinePunct w:val="0"/>
        <w:autoSpaceDE/>
        <w:autoSpaceDN/>
        <w:bidi w:val="0"/>
        <w:adjustRightInd/>
        <w:snapToGrid/>
        <w:spacing w:before="100" w:beforeLines="0" w:after="100" w:afterLines="0" w:line="640" w:lineRule="exact"/>
        <w:ind w:firstLine="480" w:firstLineChars="200"/>
        <w:jc w:val="left"/>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1、贯彻执行行业法律法规和国家、省、市有关政策规定，履行道路运输市场公共事务管理职能，完成上级部门和县委、县政府下达的各项工作任务；2、培育本辖区道路运输市场，发展道路运输产业，为当地经济社会发展和广大人民群众的生产生活提供运输保障；3、按照许可权限和程序，实施道路运输行政许可；4、组织实施本辖区道路运输市场监管，对违法违规经营行为实施行政处罚，维护市场秩序，保护道路运输经营者、消费者及其他当事人的合法权益；5、搞好行业调查研究，掌握本辖区道路运输经济运行情况，及时向主管部门提供市场信息；6、建立健全道路运输管理的各类台帐，负责数据的收集、整理、上报、做好各项基础管理工作；7、实施道路运输行业安全生产监督管理工作；8、搞好道路运输行业精神文明建设、党风廉政建设和运政队伍建设；9、做好战备、救灾、抢险等物资运输以及特殊时期客货运输的组织工作等。</w:t>
      </w:r>
    </w:p>
    <w:p w14:paraId="552C17B3">
      <w:pPr>
        <w:keepNext w:val="0"/>
        <w:keepLines w:val="0"/>
        <w:pageBreakBefore w:val="0"/>
        <w:widowControl/>
        <w:kinsoku/>
        <w:wordWrap/>
        <w:overflowPunct/>
        <w:topLinePunct w:val="0"/>
        <w:autoSpaceDE/>
        <w:autoSpaceDN/>
        <w:bidi w:val="0"/>
        <w:adjustRightInd/>
        <w:snapToGrid/>
        <w:spacing w:before="100" w:beforeLines="0" w:after="100" w:afterLines="0" w:line="64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14:paraId="018E5353">
      <w:pPr>
        <w:keepNext w:val="0"/>
        <w:keepLines w:val="0"/>
        <w:pageBreakBefore w:val="0"/>
        <w:widowControl/>
        <w:kinsoku/>
        <w:wordWrap/>
        <w:overflowPunct/>
        <w:topLinePunct w:val="0"/>
        <w:autoSpaceDE/>
        <w:autoSpaceDN/>
        <w:bidi w:val="0"/>
        <w:adjustRightInd/>
        <w:snapToGrid/>
        <w:spacing w:before="100" w:beforeLines="0" w:after="100" w:afterLines="0" w:line="640" w:lineRule="exact"/>
        <w:ind w:firstLine="480" w:firstLineChars="200"/>
        <w:jc w:val="left"/>
        <w:textAlignment w:val="auto"/>
        <w:rPr>
          <w:rFonts w:hint="eastAsia" w:ascii="宋体" w:hAnsi="宋体"/>
          <w:color w:val="auto"/>
          <w:sz w:val="24"/>
          <w:szCs w:val="24"/>
          <w:lang w:val="zh-CN"/>
        </w:rPr>
      </w:pPr>
      <w:r>
        <w:rPr>
          <w:rFonts w:hint="eastAsia" w:ascii="宋体" w:hAnsi="宋体" w:eastAsia="宋体"/>
          <w:sz w:val="24"/>
          <w:szCs w:val="24"/>
          <w:lang w:val="en-US" w:eastAsia="zh-CN"/>
        </w:rPr>
        <w:t>华池县道路运输管理局</w:t>
      </w:r>
      <w:r>
        <w:rPr>
          <w:rFonts w:hint="eastAsia" w:ascii="宋体" w:hAnsi="宋体" w:eastAsia="宋体"/>
          <w:sz w:val="24"/>
          <w:szCs w:val="24"/>
          <w:lang w:val="zh-CN" w:eastAsia="zh-CN"/>
        </w:rPr>
        <w:t>为全额拨款事业单位，内设办公室、综合业务股、运政管理股3个股室；核定事业编制</w:t>
      </w:r>
      <w:r>
        <w:rPr>
          <w:rFonts w:hint="eastAsia" w:ascii="宋体" w:hAnsi="宋体"/>
          <w:sz w:val="24"/>
          <w:szCs w:val="24"/>
          <w:lang w:val="en-US" w:eastAsia="zh-CN"/>
        </w:rPr>
        <w:t>16</w:t>
      </w:r>
      <w:r>
        <w:rPr>
          <w:rFonts w:hint="eastAsia" w:ascii="宋体" w:hAnsi="宋体" w:eastAsia="宋体"/>
          <w:sz w:val="24"/>
          <w:szCs w:val="24"/>
          <w:lang w:val="zh-CN" w:eastAsia="zh-CN"/>
        </w:rPr>
        <w:t>名，实有在职人数</w:t>
      </w:r>
      <w:r>
        <w:rPr>
          <w:rFonts w:hint="eastAsia" w:ascii="宋体" w:hAnsi="宋体"/>
          <w:sz w:val="24"/>
          <w:szCs w:val="24"/>
          <w:lang w:val="en-US" w:eastAsia="zh-CN"/>
        </w:rPr>
        <w:t>20</w:t>
      </w:r>
      <w:r>
        <w:rPr>
          <w:rFonts w:hint="eastAsia" w:ascii="宋体" w:hAnsi="宋体" w:eastAsia="宋体"/>
          <w:sz w:val="24"/>
          <w:szCs w:val="24"/>
          <w:lang w:val="zh-CN" w:eastAsia="zh-CN"/>
        </w:rPr>
        <w:t>人，退休</w:t>
      </w:r>
      <w:r>
        <w:rPr>
          <w:rFonts w:hint="eastAsia" w:ascii="宋体" w:hAnsi="宋体"/>
          <w:sz w:val="24"/>
          <w:szCs w:val="24"/>
          <w:lang w:val="en-US" w:eastAsia="zh-CN"/>
        </w:rPr>
        <w:t>7</w:t>
      </w:r>
      <w:r>
        <w:rPr>
          <w:rFonts w:hint="eastAsia" w:ascii="宋体" w:hAnsi="宋体" w:eastAsia="宋体"/>
          <w:sz w:val="24"/>
          <w:szCs w:val="24"/>
          <w:lang w:val="zh-CN" w:eastAsia="zh-CN"/>
        </w:rPr>
        <w:t>人，遗属1人。</w:t>
      </w:r>
    </w:p>
    <w:p w14:paraId="220972A0">
      <w:pPr>
        <w:widowControl w:val="0"/>
        <w:spacing w:line="560" w:lineRule="exact"/>
        <w:ind w:firstLine="1205" w:firstLineChars="50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r>
        <w:rPr>
          <w:rFonts w:hint="eastAsia" w:asciiTheme="majorEastAsia" w:hAnsiTheme="majorEastAsia" w:eastAsiaTheme="majorEastAsia" w:cstheme="majorEastAsia"/>
          <w:b/>
          <w:bCs/>
          <w:kern w:val="0"/>
          <w:sz w:val="24"/>
          <w:szCs w:val="24"/>
          <w:lang w:val="zh-CN" w:eastAsia="zh-CN" w:bidi="ar-SA"/>
        </w:rPr>
        <w:t>（</w:t>
      </w:r>
      <w:r>
        <w:rPr>
          <w:rFonts w:hint="eastAsia" w:asciiTheme="majorEastAsia" w:hAnsiTheme="majorEastAsia" w:eastAsiaTheme="majorEastAsia" w:cstheme="majorEastAsia"/>
          <w:b/>
          <w:bCs/>
          <w:kern w:val="0"/>
          <w:sz w:val="24"/>
          <w:szCs w:val="24"/>
          <w:lang w:val="en-US" w:eastAsia="zh-CN" w:bidi="ar-SA"/>
        </w:rPr>
        <w:t>详见附件</w:t>
      </w:r>
      <w:r>
        <w:rPr>
          <w:rFonts w:hint="eastAsia" w:asciiTheme="majorEastAsia" w:hAnsiTheme="majorEastAsia" w:eastAsiaTheme="majorEastAsia" w:cstheme="majorEastAsia"/>
          <w:b/>
          <w:bCs/>
          <w:kern w:val="0"/>
          <w:sz w:val="24"/>
          <w:szCs w:val="24"/>
          <w:lang w:val="zh-CN" w:eastAsia="zh-CN" w:bidi="ar-SA"/>
        </w:rPr>
        <w:t>）</w:t>
      </w:r>
    </w:p>
    <w:p w14:paraId="178A25F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527A810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5F41763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0CCE613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49DF286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30C4402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1CB6AC7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159816F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2E2CF44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59DB5374">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2B095F15">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一、收入支出决算总体情况说明</w:t>
      </w:r>
    </w:p>
    <w:p w14:paraId="3F600071">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2023年度收、支总计</w:t>
      </w:r>
      <w:r>
        <w:rPr>
          <w:rFonts w:hint="eastAsia" w:ascii="宋体" w:hAnsi="宋体" w:eastAsia="宋体" w:cs="宋体"/>
          <w:color w:val="auto"/>
          <w:sz w:val="24"/>
          <w:szCs w:val="24"/>
          <w:lang w:val="en-US"/>
        </w:rPr>
        <w:t>均为</w:t>
      </w:r>
      <w:r>
        <w:rPr>
          <w:rFonts w:hint="eastAsia" w:ascii="宋体" w:hAnsi="宋体" w:eastAsia="宋体" w:cs="宋体"/>
          <w:color w:val="auto"/>
          <w:sz w:val="24"/>
          <w:szCs w:val="24"/>
          <w:lang w:val="zh-CN"/>
        </w:rPr>
        <w:t>540.06万元。</w:t>
      </w:r>
      <w:r>
        <w:rPr>
          <w:rFonts w:hint="eastAsia" w:ascii="宋体" w:hAnsi="宋体" w:eastAsia="宋体" w:cs="宋体"/>
          <w:color w:val="auto"/>
          <w:sz w:val="24"/>
          <w:szCs w:val="24"/>
          <w:lang w:val="en-US"/>
        </w:rPr>
        <w:t>与上年度相比,</w:t>
      </w:r>
      <w:r>
        <w:rPr>
          <w:rFonts w:hint="eastAsia" w:ascii="宋体" w:hAnsi="宋体" w:eastAsia="宋体" w:cs="宋体"/>
          <w:color w:val="auto"/>
          <w:sz w:val="24"/>
          <w:szCs w:val="24"/>
          <w:lang w:val="zh-CN"/>
        </w:rPr>
        <w:t>收、支</w:t>
      </w:r>
      <w:r>
        <w:rPr>
          <w:rFonts w:hint="eastAsia" w:ascii="宋体" w:hAnsi="宋体" w:eastAsia="宋体" w:cs="宋体"/>
          <w:color w:val="auto"/>
          <w:sz w:val="24"/>
          <w:szCs w:val="24"/>
          <w:lang w:val="en-US"/>
        </w:rPr>
        <w:t>总计各</w:t>
      </w:r>
      <w:r>
        <w:rPr>
          <w:rFonts w:hint="eastAsia" w:ascii="宋体" w:hAnsi="宋体" w:eastAsia="宋体" w:cs="宋体"/>
          <w:color w:val="auto"/>
          <w:sz w:val="24"/>
          <w:szCs w:val="24"/>
          <w:lang w:val="zh-CN"/>
        </w:rPr>
        <w:t>减少136.58万元,下降20.19%,主要原因是</w:t>
      </w:r>
      <w:r>
        <w:rPr>
          <w:rFonts w:hint="eastAsia" w:ascii="宋体" w:hAnsi="宋体" w:eastAsia="宋体" w:cs="宋体"/>
          <w:color w:val="auto"/>
          <w:sz w:val="24"/>
          <w:szCs w:val="24"/>
          <w:lang w:val="en-US" w:eastAsia="zh-CN"/>
        </w:rPr>
        <w:t>农村客运和城市交通发展奖励资金减少。</w:t>
      </w:r>
    </w:p>
    <w:p w14:paraId="1E646137">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二、收入决算情况说明</w:t>
      </w:r>
    </w:p>
    <w:p w14:paraId="65907EA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2023年度收入合计540.06万元,其中：财政拨款收入540.06万元,占100.00%。</w:t>
      </w:r>
    </w:p>
    <w:p w14:paraId="50C66FA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三、支出决算情况说明</w:t>
      </w:r>
    </w:p>
    <w:p w14:paraId="5E8D99C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2023年度支出合计540.06万元,其中：基本支出291.64万元,占54.00%；项目支出248.42万元,占46.00%。</w:t>
      </w:r>
    </w:p>
    <w:p w14:paraId="6D8E6DB4">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四、财政拨款收入支出决算总体情况说明</w:t>
      </w:r>
    </w:p>
    <w:p w14:paraId="35D8A20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2023年度财政拨款收、支总计</w:t>
      </w:r>
      <w:r>
        <w:rPr>
          <w:rFonts w:hint="eastAsia" w:ascii="宋体" w:hAnsi="宋体" w:eastAsia="宋体" w:cs="宋体"/>
          <w:color w:val="auto"/>
          <w:sz w:val="24"/>
          <w:szCs w:val="24"/>
          <w:lang w:val="en-US"/>
        </w:rPr>
        <w:t>均为</w:t>
      </w:r>
      <w:r>
        <w:rPr>
          <w:rFonts w:hint="eastAsia" w:ascii="宋体" w:hAnsi="宋体" w:eastAsia="宋体" w:cs="宋体"/>
          <w:color w:val="auto"/>
          <w:sz w:val="24"/>
          <w:szCs w:val="24"/>
          <w:lang w:val="zh-CN"/>
        </w:rPr>
        <w:t>540.06万元。与</w:t>
      </w:r>
      <w:r>
        <w:rPr>
          <w:rFonts w:hint="eastAsia" w:ascii="宋体" w:hAnsi="宋体" w:eastAsia="宋体" w:cs="宋体"/>
          <w:color w:val="auto"/>
          <w:sz w:val="24"/>
          <w:szCs w:val="24"/>
          <w:lang w:val="en-US"/>
        </w:rPr>
        <w:t>上</w:t>
      </w:r>
      <w:r>
        <w:rPr>
          <w:rFonts w:hint="eastAsia" w:ascii="宋体" w:hAnsi="宋体" w:eastAsia="宋体" w:cs="宋体"/>
          <w:color w:val="auto"/>
          <w:sz w:val="24"/>
          <w:szCs w:val="24"/>
          <w:lang w:val="zh-CN"/>
        </w:rPr>
        <w:t>年相比,各减少136.58万元,下降20.19%。主要原因是</w:t>
      </w:r>
      <w:r>
        <w:rPr>
          <w:rFonts w:hint="eastAsia" w:ascii="宋体" w:hAnsi="宋体" w:eastAsia="宋体" w:cs="宋体"/>
          <w:color w:val="auto"/>
          <w:sz w:val="24"/>
          <w:szCs w:val="24"/>
          <w:lang w:val="en-US" w:eastAsia="zh-CN"/>
        </w:rPr>
        <w:t>农村客运和城市交通发展奖励资金减少。</w:t>
      </w:r>
    </w:p>
    <w:p w14:paraId="4B2F338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五、一般公共预算财政拨款支出决算情况说明</w:t>
      </w:r>
    </w:p>
    <w:p w14:paraId="08420DF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（一）一般公共预算财政拨款支出决算总体情况</w:t>
      </w:r>
    </w:p>
    <w:p w14:paraId="34631A6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zh-CN"/>
        </w:rPr>
        <w:t>2023年度一般公共预算财政拨款支出540.06万元,较上年决算数增加131.95万元,增长32.33%。主要原因是</w:t>
      </w:r>
      <w:r>
        <w:rPr>
          <w:rFonts w:hint="eastAsia" w:ascii="宋体" w:hAnsi="宋体" w:eastAsia="宋体" w:cs="宋体"/>
          <w:color w:val="auto"/>
          <w:sz w:val="24"/>
          <w:szCs w:val="24"/>
          <w:lang w:val="en-US" w:eastAsia="zh-CN"/>
        </w:rPr>
        <w:t>人员工资增加，各类保险相应增加。</w:t>
      </w:r>
    </w:p>
    <w:p w14:paraId="00D2B2F9">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color w:val="000000" w:themeColor="text1"/>
          <w:sz w:val="24"/>
          <w:szCs w:val="24"/>
          <w:lang w:val="zh-CN"/>
          <w14:textFill>
            <w14:solidFill>
              <w14:schemeClr w14:val="tx1"/>
            </w14:solidFill>
          </w14:textFill>
        </w:rPr>
        <w:t>一般公共预算财政拨款支出决算结构情况</w:t>
      </w:r>
    </w:p>
    <w:p w14:paraId="7CD49462">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FF0000"/>
          <w:sz w:val="24"/>
          <w:szCs w:val="24"/>
          <w:lang w:val="zh-CN"/>
        </w:rPr>
      </w:pPr>
      <w:r>
        <w:rPr>
          <w:rFonts w:hint="eastAsia" w:ascii="宋体" w:hAnsi="宋体" w:eastAsia="宋体" w:cs="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eastAsia="宋体" w:cs="宋体"/>
          <w:color w:val="auto"/>
          <w:sz w:val="24"/>
          <w:szCs w:val="24"/>
          <w:lang w:val="zh-CN"/>
        </w:rPr>
        <w:t>540.06万元，主要用于以下方面：社会保障和就业支出18.46万元,占3.42%；卫生健康支出16.19万元,占3.0%；城乡社区支出3.44万元,占0.64%；农林水支出2.12万元,占0.39%；交通运输支出499.85万元,占92.55%。</w:t>
      </w:r>
    </w:p>
    <w:p w14:paraId="140EED35">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color w:val="000000" w:themeColor="text1"/>
          <w:sz w:val="24"/>
          <w:szCs w:val="24"/>
          <w:lang w:val="zh-CN"/>
          <w14:textFill>
            <w14:solidFill>
              <w14:schemeClr w14:val="tx1"/>
            </w14:solidFill>
          </w14:textFill>
        </w:rPr>
        <w:t>一般公共预算财政拨款支出决算具体情况。</w:t>
      </w:r>
    </w:p>
    <w:p w14:paraId="6872E5DA">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eastAsia="宋体" w:cs="宋体"/>
          <w:color w:val="auto"/>
          <w:sz w:val="24"/>
          <w:szCs w:val="24"/>
          <w:lang w:val="zh-CN"/>
        </w:rPr>
        <w:t>411.73万元,支出决算为540.06万元,完成年初预算的131.17%。其中：</w:t>
      </w:r>
    </w:p>
    <w:p w14:paraId="7FB8B774">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bookmarkStart w:id="0" w:name="_GoBack"/>
      <w:bookmarkEnd w:id="0"/>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lang w:val="zh-CN"/>
        </w:rPr>
        <w:t>．社会保障和就业支出</w:t>
      </w:r>
      <w:r>
        <w:rPr>
          <w:rFonts w:hint="eastAsia" w:ascii="宋体" w:hAnsi="宋体" w:eastAsia="宋体" w:cs="宋体"/>
          <w:color w:val="auto"/>
          <w:sz w:val="24"/>
          <w:szCs w:val="24"/>
          <w:lang w:val="zh-CN"/>
        </w:rPr>
        <w:t>年初预算数为35.33万元,支出决算为18.46万元,完成年初预算的52.25%,决算数小于预算数的</w:t>
      </w:r>
      <w:r>
        <w:rPr>
          <w:rFonts w:hint="eastAsia" w:ascii="宋体" w:hAnsi="宋体" w:eastAsia="宋体" w:cs="宋体"/>
          <w:color w:val="auto"/>
          <w:sz w:val="24"/>
          <w:szCs w:val="24"/>
          <w:lang w:val="zh-CN" w:eastAsia="zh-CN"/>
        </w:rPr>
        <w:t>人员工资福利支出、对个人和家庭补助支出、工会经费支出减少。</w:t>
      </w:r>
    </w:p>
    <w:p w14:paraId="6D8A22B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FF0000"/>
          <w:sz w:val="24"/>
          <w:szCs w:val="24"/>
          <w:lang w:val="zh-CN"/>
        </w:rPr>
      </w:pPr>
      <w:r>
        <w:rPr>
          <w:rFonts w:hint="eastAsia" w:ascii="宋体" w:hAnsi="宋体" w:eastAsia="宋体" w:cs="宋体"/>
          <w:b/>
          <w:color w:val="auto"/>
          <w:sz w:val="24"/>
          <w:szCs w:val="24"/>
          <w:lang w:val="en-US" w:eastAsia="zh-CN"/>
        </w:rPr>
        <w:t>2</w:t>
      </w:r>
      <w:r>
        <w:rPr>
          <w:rFonts w:hint="eastAsia" w:ascii="宋体" w:hAnsi="宋体" w:eastAsia="宋体" w:cs="宋体"/>
          <w:b/>
          <w:color w:val="auto"/>
          <w:sz w:val="24"/>
          <w:szCs w:val="24"/>
          <w:lang w:val="zh-CN"/>
        </w:rPr>
        <w:t>．卫生健康支出</w:t>
      </w:r>
      <w:r>
        <w:rPr>
          <w:rFonts w:hint="eastAsia" w:ascii="宋体" w:hAnsi="宋体" w:eastAsia="宋体" w:cs="宋体"/>
          <w:color w:val="auto"/>
          <w:sz w:val="24"/>
          <w:szCs w:val="24"/>
          <w:lang w:val="zh-CN"/>
        </w:rPr>
        <w:t>年初预算数为12.84万元,支出决算为16.19万元,完成年初预算的126.09%,决算数大于预算数的</w:t>
      </w:r>
      <w:r>
        <w:rPr>
          <w:rFonts w:hint="eastAsia" w:ascii="宋体" w:hAnsi="宋体" w:eastAsia="宋体" w:cs="宋体"/>
          <w:color w:val="auto"/>
          <w:sz w:val="24"/>
          <w:szCs w:val="24"/>
          <w:lang w:val="zh-CN" w:eastAsia="zh-CN"/>
        </w:rPr>
        <w:t>人员工资福利支出、对个人和家庭补助支出、工会经费支出减少。</w:t>
      </w:r>
    </w:p>
    <w:p w14:paraId="2B48242F">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val="0"/>
          <w:bCs w:val="0"/>
          <w:color w:val="auto"/>
          <w:sz w:val="24"/>
          <w:szCs w:val="24"/>
          <w:lang w:val="zh-CN"/>
        </w:rPr>
      </w:pPr>
      <w:r>
        <w:rPr>
          <w:rFonts w:hint="eastAsia" w:ascii="宋体" w:hAnsi="宋体" w:eastAsia="宋体" w:cs="宋体"/>
          <w:b/>
          <w:color w:val="auto"/>
          <w:sz w:val="24"/>
          <w:szCs w:val="24"/>
          <w:lang w:val="en-US" w:eastAsia="zh-CN"/>
        </w:rPr>
        <w:t>3</w:t>
      </w:r>
      <w:r>
        <w:rPr>
          <w:rFonts w:hint="eastAsia" w:ascii="宋体" w:hAnsi="宋体" w:eastAsia="宋体" w:cs="宋体"/>
          <w:b/>
          <w:color w:val="auto"/>
          <w:sz w:val="24"/>
          <w:szCs w:val="24"/>
          <w:lang w:val="zh-CN"/>
        </w:rPr>
        <w:t>．城乡社区支出</w:t>
      </w:r>
      <w:r>
        <w:rPr>
          <w:rFonts w:hint="eastAsia" w:ascii="宋体" w:hAnsi="宋体" w:eastAsia="宋体" w:cs="宋体"/>
          <w:color w:val="auto"/>
          <w:sz w:val="24"/>
          <w:szCs w:val="24"/>
          <w:lang w:val="zh-CN"/>
        </w:rPr>
        <w:t>年初预算数为0.00万元,支出决算为3.44万元,完成年初预算的</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lang w:val="zh-CN"/>
        </w:rPr>
        <w:t>%,决算数大于预算数的</w:t>
      </w:r>
      <w:r>
        <w:rPr>
          <w:rFonts w:hint="eastAsia" w:ascii="宋体" w:hAnsi="宋体" w:eastAsia="宋体" w:cs="宋体"/>
          <w:b w:val="0"/>
          <w:bCs w:val="0"/>
          <w:color w:val="auto"/>
          <w:sz w:val="24"/>
          <w:szCs w:val="24"/>
          <w:lang w:val="zh-CN"/>
        </w:rPr>
        <w:t>主要原因是</w:t>
      </w:r>
      <w:r>
        <w:rPr>
          <w:rFonts w:hint="eastAsia" w:ascii="宋体" w:hAnsi="宋体" w:eastAsia="宋体" w:cs="宋体"/>
          <w:b w:val="0"/>
          <w:bCs w:val="0"/>
          <w:color w:val="auto"/>
          <w:sz w:val="24"/>
          <w:szCs w:val="24"/>
          <w:lang w:val="en-US" w:eastAsia="zh-CN"/>
        </w:rPr>
        <w:t>将退休人员2022年取暖费算入</w:t>
      </w:r>
      <w:r>
        <w:rPr>
          <w:rFonts w:hint="eastAsia" w:ascii="宋体" w:hAnsi="宋体" w:eastAsia="宋体" w:cs="宋体"/>
          <w:b w:val="0"/>
          <w:bCs w:val="0"/>
          <w:color w:val="auto"/>
          <w:sz w:val="24"/>
          <w:szCs w:val="24"/>
          <w:lang w:val="zh-CN"/>
        </w:rPr>
        <w:t>城乡社区支出。</w:t>
      </w:r>
    </w:p>
    <w:p w14:paraId="6F1B6A65">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b/>
          <w:color w:val="auto"/>
          <w:sz w:val="24"/>
          <w:szCs w:val="24"/>
          <w:lang w:val="en-US" w:eastAsia="zh-CN"/>
        </w:rPr>
        <w:t>4</w:t>
      </w:r>
      <w:r>
        <w:rPr>
          <w:rFonts w:hint="eastAsia" w:ascii="宋体" w:hAnsi="宋体" w:eastAsia="宋体" w:cs="宋体"/>
          <w:b/>
          <w:color w:val="auto"/>
          <w:sz w:val="24"/>
          <w:szCs w:val="24"/>
          <w:lang w:val="zh-CN"/>
        </w:rPr>
        <w:t>．农林水支出</w:t>
      </w:r>
      <w:r>
        <w:rPr>
          <w:rFonts w:hint="eastAsia" w:ascii="宋体" w:hAnsi="宋体" w:eastAsia="宋体" w:cs="宋体"/>
          <w:color w:val="auto"/>
          <w:sz w:val="24"/>
          <w:szCs w:val="24"/>
          <w:lang w:val="zh-CN"/>
        </w:rPr>
        <w:t>年初预算数为0.00万元,支出决算为2.12万元,完成年初预算的</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lang w:val="zh-CN"/>
        </w:rPr>
        <w:t>%,决算数大于预算数的主要原因是</w:t>
      </w:r>
      <w:r>
        <w:rPr>
          <w:rFonts w:hint="eastAsia" w:ascii="宋体" w:hAnsi="宋体" w:eastAsia="宋体" w:cs="宋体"/>
          <w:color w:val="auto"/>
          <w:sz w:val="24"/>
          <w:szCs w:val="24"/>
          <w:lang w:val="en-US" w:eastAsia="zh-CN"/>
        </w:rPr>
        <w:t>驻村工作经费算入农林水支出。</w:t>
      </w:r>
    </w:p>
    <w:p w14:paraId="35A4ED7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lang w:val="zh-CN"/>
        </w:rPr>
        <w:t>．交通运输支出</w:t>
      </w:r>
      <w:r>
        <w:rPr>
          <w:rFonts w:hint="eastAsia" w:ascii="宋体" w:hAnsi="宋体" w:eastAsia="宋体" w:cs="宋体"/>
          <w:color w:val="auto"/>
          <w:sz w:val="24"/>
          <w:szCs w:val="24"/>
          <w:lang w:val="zh-CN"/>
        </w:rPr>
        <w:t>年初预算数为363.56万元,支出决算为499.85万元,完成年初预算的137.49%,决算数大于预算数的主要原因是</w:t>
      </w:r>
      <w:r>
        <w:rPr>
          <w:rFonts w:hint="eastAsia" w:ascii="宋体" w:hAnsi="宋体" w:eastAsia="宋体" w:cs="宋体"/>
          <w:color w:val="auto"/>
          <w:sz w:val="24"/>
          <w:szCs w:val="24"/>
          <w:lang w:val="en-US" w:eastAsia="zh-CN"/>
        </w:rPr>
        <w:t>农村客运和城市交通发展奖励资金没有纳入年初预算。</w:t>
      </w:r>
    </w:p>
    <w:p w14:paraId="0A7AA48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六、一般公共预算财政拨款基本支出决算情况说明</w:t>
      </w:r>
    </w:p>
    <w:p w14:paraId="50A345D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2023年度一般公共预算财政拨款基本支出291.64万元。其中：</w:t>
      </w:r>
    </w:p>
    <w:p w14:paraId="7DCC4C3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人员经费</w:t>
      </w:r>
      <w:r>
        <w:rPr>
          <w:rFonts w:hint="eastAsia" w:ascii="宋体" w:hAnsi="宋体" w:eastAsia="宋体" w:cs="宋体"/>
          <w:color w:val="auto"/>
          <w:sz w:val="24"/>
          <w:szCs w:val="24"/>
          <w:lang w:val="zh-CN"/>
        </w:rPr>
        <w:t>263.11万元,较上年决算数增加61.85万元,增长30.73%,主要原因是</w:t>
      </w:r>
      <w:r>
        <w:rPr>
          <w:rFonts w:hint="eastAsia" w:ascii="宋体" w:hAnsi="宋体" w:eastAsia="宋体" w:cs="宋体"/>
          <w:color w:val="auto"/>
          <w:sz w:val="24"/>
          <w:szCs w:val="24"/>
          <w:lang w:val="en-US" w:eastAsia="zh-CN"/>
        </w:rPr>
        <w:t>人员工资增加，各类保险相应增加。人</w:t>
      </w:r>
      <w:r>
        <w:rPr>
          <w:rFonts w:hint="eastAsia" w:ascii="宋体" w:hAnsi="宋体" w:eastAsia="宋体" w:cs="宋体"/>
          <w:color w:val="auto"/>
          <w:sz w:val="24"/>
          <w:szCs w:val="24"/>
          <w:lang w:val="zh-CN"/>
        </w:rPr>
        <w:t>员经费用途主要包括基本工资、津贴补贴、奖金、社会保障缴费。</w:t>
      </w:r>
    </w:p>
    <w:p w14:paraId="01AF83FC">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公用经费</w:t>
      </w:r>
      <w:r>
        <w:rPr>
          <w:rFonts w:hint="eastAsia" w:ascii="宋体" w:hAnsi="宋体" w:eastAsia="宋体" w:cs="宋体"/>
          <w:color w:val="auto"/>
          <w:sz w:val="24"/>
          <w:szCs w:val="24"/>
          <w:lang w:val="zh-CN"/>
        </w:rPr>
        <w:t>28.53万元,较上年决算数减少178.32万元,下降86.21%,主要原因是</w:t>
      </w:r>
      <w:r>
        <w:rPr>
          <w:rFonts w:hint="eastAsia" w:ascii="宋体" w:hAnsi="宋体" w:eastAsia="宋体" w:cs="宋体"/>
          <w:color w:val="auto"/>
          <w:sz w:val="24"/>
          <w:szCs w:val="24"/>
          <w:lang w:val="en-US" w:eastAsia="zh-CN"/>
        </w:rPr>
        <w:t>22年将农村客运和城市交通发展奖励资金计入本科目</w:t>
      </w:r>
      <w:r>
        <w:rPr>
          <w:rFonts w:hint="eastAsia" w:ascii="宋体" w:hAnsi="宋体" w:eastAsia="宋体" w:cs="宋体"/>
          <w:color w:val="auto"/>
          <w:sz w:val="24"/>
          <w:szCs w:val="24"/>
          <w:lang w:val="zh-CN"/>
        </w:rPr>
        <w:t>。公用经费用途主要包括办公费、印刷费、</w:t>
      </w:r>
      <w:r>
        <w:rPr>
          <w:rFonts w:hint="eastAsia" w:ascii="宋体" w:hAnsi="宋体" w:eastAsia="宋体" w:cs="宋体"/>
          <w:color w:val="auto"/>
          <w:sz w:val="24"/>
          <w:szCs w:val="24"/>
          <w:lang w:val="en-US" w:eastAsia="zh-CN"/>
        </w:rPr>
        <w:t>水费、电费、邮电费、取暖费、物业管理费、劳务费。</w:t>
      </w:r>
    </w:p>
    <w:p w14:paraId="648A2E7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七、政府性基金预算财政拨款收支决算情况说明</w:t>
      </w:r>
    </w:p>
    <w:p w14:paraId="06B2B92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FF0000"/>
          <w:sz w:val="24"/>
          <w:szCs w:val="24"/>
          <w:lang w:val="zh-CN"/>
        </w:rPr>
      </w:pPr>
      <w:r>
        <w:rPr>
          <w:rFonts w:hint="eastAsia" w:ascii="宋体" w:hAnsi="宋体" w:eastAsia="宋体" w:cs="宋体"/>
          <w:color w:val="auto"/>
          <w:sz w:val="24"/>
          <w:szCs w:val="24"/>
          <w:lang w:val="zh-CN"/>
        </w:rPr>
        <w:t>本部门2023年度无政府性基金收入,也没有使用政府性基金安排的支出。</w:t>
      </w:r>
    </w:p>
    <w:p w14:paraId="2CAC53C0">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八、国有资本经营预算财政拨款支出情况说明</w:t>
      </w:r>
    </w:p>
    <w:p w14:paraId="1E8D2A3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FF0000"/>
          <w:sz w:val="24"/>
          <w:szCs w:val="24"/>
          <w:lang w:val="zh-CN"/>
        </w:rPr>
      </w:pPr>
      <w:r>
        <w:rPr>
          <w:rFonts w:hint="eastAsia" w:ascii="宋体" w:hAnsi="宋体" w:eastAsia="宋体" w:cs="宋体"/>
          <w:color w:val="auto"/>
          <w:sz w:val="24"/>
          <w:szCs w:val="24"/>
          <w:lang w:val="zh-CN"/>
        </w:rPr>
        <w:t>本部门2023年度没有使用国有资本经营预算安排的支出。</w:t>
      </w:r>
    </w:p>
    <w:p w14:paraId="7DE7BA2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lang w:val="zh-CN" w:eastAsia="zh-CN"/>
        </w:rPr>
        <w:t>、财政拨款“三公”经费支出决算情况说明</w:t>
      </w:r>
    </w:p>
    <w:p w14:paraId="5F52AF83">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(一)“三公”经费财政拨款支出总体情况说明</w:t>
      </w:r>
    </w:p>
    <w:p w14:paraId="7D8E245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w:t>
      </w:r>
      <w:r>
        <w:rPr>
          <w:rFonts w:hint="eastAsia" w:ascii="宋体" w:hAnsi="宋体" w:eastAsia="宋体" w:cs="宋体"/>
          <w:color w:val="auto"/>
          <w:sz w:val="24"/>
          <w:szCs w:val="24"/>
          <w:shd w:val="clear" w:color="auto" w:fill="auto"/>
          <w:lang w:val="zh-CN"/>
        </w:rPr>
        <w:t>23年度“三公”经费支出</w:t>
      </w:r>
      <w:r>
        <w:rPr>
          <w:rFonts w:hint="eastAsia" w:ascii="宋体" w:hAnsi="宋体" w:eastAsia="宋体" w:cs="宋体"/>
          <w:color w:val="auto"/>
          <w:sz w:val="24"/>
          <w:szCs w:val="24"/>
          <w:shd w:val="clear" w:color="auto" w:fill="auto"/>
          <w:lang w:val="en-US"/>
        </w:rPr>
        <w:t>全年</w:t>
      </w:r>
      <w:r>
        <w:rPr>
          <w:rFonts w:hint="eastAsia" w:ascii="宋体" w:hAnsi="宋体" w:eastAsia="宋体" w:cs="宋体"/>
          <w:color w:val="auto"/>
          <w:sz w:val="24"/>
          <w:szCs w:val="24"/>
          <w:shd w:val="clear" w:color="auto" w:fill="auto"/>
          <w:lang w:val="zh-CN"/>
        </w:rPr>
        <w:t>预算数为0.10万元,支出决算为0.06万元,决算数小于预算数的主要原因是</w:t>
      </w:r>
      <w:r>
        <w:rPr>
          <w:rFonts w:hint="eastAsia" w:ascii="宋体" w:hAnsi="宋体" w:eastAsia="宋体" w:cs="宋体"/>
          <w:color w:val="auto"/>
          <w:sz w:val="24"/>
          <w:szCs w:val="24"/>
          <w:shd w:val="clear" w:color="auto" w:fill="auto"/>
          <w:lang w:val="en-US" w:eastAsia="zh-CN"/>
        </w:rPr>
        <w:t>单位压减“三公”经费支出</w:t>
      </w:r>
      <w:r>
        <w:rPr>
          <w:rFonts w:hint="eastAsia" w:ascii="宋体" w:hAnsi="宋体" w:eastAsia="宋体" w:cs="宋体"/>
          <w:color w:val="auto"/>
          <w:sz w:val="24"/>
          <w:szCs w:val="24"/>
          <w:shd w:val="clear" w:color="auto" w:fill="auto"/>
          <w:lang w:val="zh-CN"/>
        </w:rPr>
        <w:t>,</w:t>
      </w:r>
      <w:r>
        <w:rPr>
          <w:rFonts w:hint="eastAsia" w:ascii="宋体" w:hAnsi="宋体" w:eastAsia="宋体" w:cs="宋体"/>
          <w:color w:val="auto"/>
          <w:sz w:val="24"/>
          <w:szCs w:val="24"/>
          <w:shd w:val="clear" w:color="auto" w:fill="auto"/>
          <w:lang w:val="en-US"/>
        </w:rPr>
        <w:t>较上年决算数</w:t>
      </w:r>
      <w:r>
        <w:rPr>
          <w:rFonts w:hint="eastAsia" w:ascii="宋体" w:hAnsi="宋体" w:eastAsia="宋体" w:cs="宋体"/>
          <w:color w:val="auto"/>
          <w:sz w:val="24"/>
          <w:szCs w:val="24"/>
          <w:shd w:val="clear" w:color="auto" w:fill="auto"/>
          <w:lang w:val="en-US" w:eastAsia="zh-CN"/>
        </w:rPr>
        <w:t>减少0.09</w:t>
      </w:r>
      <w:r>
        <w:rPr>
          <w:rFonts w:hint="eastAsia" w:ascii="宋体" w:hAnsi="宋体" w:eastAsia="宋体" w:cs="宋体"/>
          <w:color w:val="auto"/>
          <w:sz w:val="24"/>
          <w:szCs w:val="24"/>
          <w:shd w:val="clear" w:color="auto" w:fill="auto"/>
          <w:lang w:val="zh-CN"/>
        </w:rPr>
        <w:t>万元</w:t>
      </w:r>
      <w:r>
        <w:rPr>
          <w:rFonts w:hint="eastAsia" w:ascii="宋体" w:hAnsi="宋体" w:eastAsia="宋体" w:cs="宋体"/>
          <w:color w:val="auto"/>
          <w:sz w:val="24"/>
          <w:szCs w:val="24"/>
          <w:shd w:val="clear" w:color="auto" w:fill="auto"/>
          <w:lang w:val="en-US"/>
        </w:rPr>
        <w:t>,</w:t>
      </w:r>
      <w:r>
        <w:rPr>
          <w:rFonts w:hint="eastAsia" w:ascii="宋体" w:hAnsi="宋体" w:eastAsia="宋体" w:cs="宋体"/>
          <w:color w:val="auto"/>
          <w:sz w:val="24"/>
          <w:szCs w:val="24"/>
          <w:shd w:val="clear" w:color="auto" w:fill="auto"/>
          <w:lang w:val="en-US" w:eastAsia="zh-CN"/>
        </w:rPr>
        <w:t>下降58.28</w:t>
      </w:r>
      <w:r>
        <w:rPr>
          <w:rFonts w:hint="eastAsia" w:ascii="宋体" w:hAnsi="宋体" w:eastAsia="宋体" w:cs="宋体"/>
          <w:color w:val="auto"/>
          <w:sz w:val="24"/>
          <w:szCs w:val="24"/>
          <w:shd w:val="clear" w:color="auto" w:fill="auto"/>
          <w:lang w:val="zh-CN"/>
        </w:rPr>
        <w:t>%</w:t>
      </w:r>
      <w:r>
        <w:rPr>
          <w:rFonts w:hint="eastAsia" w:ascii="宋体" w:hAnsi="宋体" w:eastAsia="宋体" w:cs="宋体"/>
          <w:color w:val="auto"/>
          <w:sz w:val="24"/>
          <w:szCs w:val="24"/>
          <w:shd w:val="clear" w:color="auto" w:fill="auto"/>
          <w:lang w:val="en-US"/>
        </w:rPr>
        <w:t>,主要原因是</w:t>
      </w:r>
      <w:r>
        <w:rPr>
          <w:rFonts w:hint="eastAsia" w:ascii="宋体" w:hAnsi="宋体" w:eastAsia="宋体" w:cs="宋体"/>
          <w:color w:val="auto"/>
          <w:sz w:val="24"/>
          <w:szCs w:val="24"/>
          <w:shd w:val="clear" w:color="auto" w:fill="auto"/>
          <w:lang w:val="en-US" w:eastAsia="zh-CN"/>
        </w:rPr>
        <w:t>单位压减“三公”</w:t>
      </w:r>
      <w:r>
        <w:rPr>
          <w:rFonts w:hint="eastAsia" w:ascii="宋体" w:hAnsi="宋体" w:eastAsia="宋体" w:cs="宋体"/>
          <w:color w:val="auto"/>
          <w:sz w:val="24"/>
          <w:szCs w:val="24"/>
          <w:lang w:val="en-US" w:eastAsia="zh-CN"/>
        </w:rPr>
        <w:t>经费支出。</w:t>
      </w:r>
    </w:p>
    <w:p w14:paraId="12CB7405">
      <w:pPr>
        <w:keepNext w:val="0"/>
        <w:keepLines w:val="0"/>
        <w:pageBreakBefore w:val="0"/>
        <w:widowControl/>
        <w:numPr>
          <w:ilvl w:val="0"/>
          <w:numId w:val="2"/>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“三公”经费财政拨款支出决算具体情况说明</w:t>
      </w:r>
    </w:p>
    <w:p w14:paraId="5FEB1FCB">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lang w:val="zh-CN"/>
        </w:rPr>
        <w:t>.公务用车购置及运行维护费</w:t>
      </w:r>
      <w:r>
        <w:rPr>
          <w:rFonts w:hint="eastAsia" w:ascii="宋体" w:hAnsi="宋体" w:eastAsia="宋体" w:cs="宋体"/>
          <w:color w:val="auto"/>
          <w:sz w:val="24"/>
          <w:szCs w:val="24"/>
          <w:lang w:val="en-US"/>
        </w:rPr>
        <w:t>全年</w:t>
      </w:r>
      <w:r>
        <w:rPr>
          <w:rFonts w:hint="eastAsia" w:ascii="宋体" w:hAnsi="宋体" w:eastAsia="宋体" w:cs="宋体"/>
          <w:color w:val="auto"/>
          <w:sz w:val="24"/>
          <w:szCs w:val="24"/>
          <w:lang w:val="zh-CN"/>
        </w:rPr>
        <w:t>预算数为0.00万元,支出决算为0.00万元,决算数小于预算数，</w:t>
      </w:r>
      <w:r>
        <w:rPr>
          <w:rFonts w:hint="eastAsia" w:ascii="宋体" w:hAnsi="宋体" w:eastAsia="宋体" w:cs="宋体"/>
          <w:color w:val="auto"/>
          <w:sz w:val="24"/>
          <w:szCs w:val="24"/>
          <w:lang w:val="en-US"/>
        </w:rPr>
        <w:t>较上年决算数</w:t>
      </w:r>
      <w:r>
        <w:rPr>
          <w:rFonts w:hint="eastAsia" w:ascii="宋体" w:hAnsi="宋体" w:eastAsia="宋体" w:cs="宋体"/>
          <w:color w:val="auto"/>
          <w:sz w:val="24"/>
          <w:szCs w:val="24"/>
          <w:lang w:val="en-US" w:eastAsia="zh-CN"/>
        </w:rPr>
        <w:t>减少0.15</w:t>
      </w:r>
      <w:r>
        <w:rPr>
          <w:rFonts w:hint="eastAsia" w:ascii="宋体" w:hAnsi="宋体" w:eastAsia="宋体" w:cs="宋体"/>
          <w:color w:val="auto"/>
          <w:sz w:val="24"/>
          <w:szCs w:val="24"/>
          <w:lang w:val="zh-CN"/>
        </w:rPr>
        <w:t>万元</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下降100.0</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rPr>
        <w:t>,主要原因是</w:t>
      </w:r>
      <w:r>
        <w:rPr>
          <w:rFonts w:hint="eastAsia" w:ascii="宋体" w:hAnsi="宋体" w:eastAsia="宋体" w:cs="宋体"/>
          <w:color w:val="auto"/>
          <w:sz w:val="24"/>
          <w:szCs w:val="24"/>
          <w:lang w:val="en-US" w:eastAsia="zh-CN"/>
        </w:rPr>
        <w:t>2022年执法车辆报废后在未新增车辆。</w:t>
      </w:r>
    </w:p>
    <w:p w14:paraId="35EF6CCC">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其中：公务用车运行维护费</w:t>
      </w:r>
      <w:r>
        <w:rPr>
          <w:rFonts w:hint="eastAsia" w:ascii="宋体" w:hAnsi="宋体" w:eastAsia="宋体" w:cs="宋体"/>
          <w:color w:val="auto"/>
          <w:sz w:val="24"/>
          <w:szCs w:val="24"/>
          <w:lang w:val="en-US"/>
        </w:rPr>
        <w:t>较上年决算数</w:t>
      </w:r>
      <w:r>
        <w:rPr>
          <w:rFonts w:hint="eastAsia" w:ascii="宋体" w:hAnsi="宋体" w:eastAsia="宋体" w:cs="宋体"/>
          <w:color w:val="auto"/>
          <w:sz w:val="24"/>
          <w:szCs w:val="24"/>
          <w:lang w:val="en-US" w:eastAsia="zh-CN"/>
        </w:rPr>
        <w:t>减少0.15</w:t>
      </w:r>
      <w:r>
        <w:rPr>
          <w:rFonts w:hint="eastAsia" w:ascii="宋体" w:hAnsi="宋体" w:eastAsia="宋体" w:cs="宋体"/>
          <w:color w:val="auto"/>
          <w:sz w:val="24"/>
          <w:szCs w:val="24"/>
          <w:lang w:val="zh-CN"/>
        </w:rPr>
        <w:t>万元</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下降100.0</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rPr>
        <w:t>,主要原因是</w:t>
      </w:r>
      <w:r>
        <w:rPr>
          <w:rFonts w:hint="eastAsia" w:ascii="宋体" w:hAnsi="宋体" w:eastAsia="宋体" w:cs="宋体"/>
          <w:color w:val="auto"/>
          <w:sz w:val="24"/>
          <w:szCs w:val="24"/>
          <w:lang w:val="en-US" w:eastAsia="zh-CN"/>
        </w:rPr>
        <w:t>2022年执法车辆报废后在未新增车辆。</w:t>
      </w:r>
    </w:p>
    <w:p w14:paraId="6B995FBE">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en-US" w:eastAsia="zh-CN"/>
        </w:rPr>
        <w:t>2.</w:t>
      </w:r>
      <w:r>
        <w:rPr>
          <w:rFonts w:hint="eastAsia" w:ascii="宋体" w:hAnsi="宋体" w:eastAsia="宋体" w:cs="宋体"/>
          <w:b/>
          <w:color w:val="auto"/>
          <w:sz w:val="24"/>
          <w:szCs w:val="24"/>
          <w:lang w:val="zh-CN"/>
        </w:rPr>
        <w:t>公务接待费</w:t>
      </w:r>
      <w:r>
        <w:rPr>
          <w:rFonts w:hint="eastAsia" w:ascii="宋体" w:hAnsi="宋体" w:eastAsia="宋体" w:cs="宋体"/>
          <w:color w:val="auto"/>
          <w:sz w:val="24"/>
          <w:szCs w:val="24"/>
          <w:lang w:val="en-US"/>
        </w:rPr>
        <w:t>全</w:t>
      </w:r>
      <w:r>
        <w:rPr>
          <w:rFonts w:hint="eastAsia" w:ascii="宋体" w:hAnsi="宋体" w:eastAsia="宋体" w:cs="宋体"/>
          <w:color w:val="auto"/>
          <w:sz w:val="24"/>
          <w:szCs w:val="24"/>
          <w:lang w:val="zh-CN"/>
        </w:rPr>
        <w:t>年预算数为0.10万元,支出决算为0.06万元,决算数小于预算数的主要原因是</w:t>
      </w:r>
      <w:r>
        <w:rPr>
          <w:rFonts w:hint="eastAsia" w:ascii="宋体" w:hAnsi="宋体" w:eastAsia="宋体" w:cs="宋体"/>
          <w:color w:val="auto"/>
          <w:sz w:val="24"/>
          <w:szCs w:val="24"/>
          <w:lang w:val="en-US" w:eastAsia="zh-CN"/>
        </w:rPr>
        <w:t>单位压减“三公”经费支出，</w:t>
      </w:r>
      <w:r>
        <w:rPr>
          <w:rFonts w:hint="eastAsia" w:ascii="宋体" w:hAnsi="宋体" w:eastAsia="宋体" w:cs="宋体"/>
          <w:color w:val="auto"/>
          <w:sz w:val="24"/>
          <w:szCs w:val="24"/>
          <w:lang w:val="en-US"/>
        </w:rPr>
        <w:t>较上年决算数</w:t>
      </w:r>
      <w:r>
        <w:rPr>
          <w:rFonts w:hint="eastAsia" w:ascii="宋体" w:hAnsi="宋体" w:eastAsia="宋体" w:cs="宋体"/>
          <w:color w:val="auto"/>
          <w:sz w:val="24"/>
          <w:szCs w:val="24"/>
          <w:lang w:val="en-US" w:eastAsia="zh-CN"/>
        </w:rPr>
        <w:t>增加0.06</w:t>
      </w:r>
      <w:r>
        <w:rPr>
          <w:rFonts w:hint="eastAsia" w:ascii="宋体" w:hAnsi="宋体" w:eastAsia="宋体" w:cs="宋体"/>
          <w:color w:val="auto"/>
          <w:sz w:val="24"/>
          <w:szCs w:val="24"/>
          <w:lang w:val="zh-CN"/>
        </w:rPr>
        <w:t>万元</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增长100</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rPr>
        <w:t>,主要原因是</w:t>
      </w:r>
      <w:r>
        <w:rPr>
          <w:rFonts w:hint="eastAsia" w:ascii="宋体" w:hAnsi="宋体" w:eastAsia="宋体" w:cs="宋体"/>
          <w:color w:val="auto"/>
          <w:sz w:val="24"/>
          <w:szCs w:val="24"/>
          <w:lang w:val="en-US" w:eastAsia="zh-CN"/>
        </w:rPr>
        <w:t>上年未支付公务接待费。</w:t>
      </w:r>
    </w:p>
    <w:p w14:paraId="394CE90F">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其他国内公务接待支出</w:t>
      </w:r>
      <w:r>
        <w:rPr>
          <w:rFonts w:hint="eastAsia" w:ascii="宋体" w:hAnsi="宋体" w:eastAsia="宋体" w:cs="宋体"/>
          <w:color w:val="auto"/>
          <w:sz w:val="24"/>
          <w:szCs w:val="24"/>
          <w:lang w:val="zh-CN"/>
        </w:rPr>
        <w:t>0.06万元。</w:t>
      </w:r>
    </w:p>
    <w:p w14:paraId="301DD9E0">
      <w:pPr>
        <w:keepNext w:val="0"/>
        <w:keepLines w:val="0"/>
        <w:pageBreakBefore w:val="0"/>
        <w:widowControl/>
        <w:numPr>
          <w:ilvl w:val="0"/>
          <w:numId w:val="2"/>
        </w:numPr>
        <w:kinsoku/>
        <w:wordWrap/>
        <w:overflowPunct/>
        <w:topLinePunct w:val="0"/>
        <w:autoSpaceDE/>
        <w:autoSpaceDN/>
        <w:bidi w:val="0"/>
        <w:adjustRightInd/>
        <w:snapToGrid/>
        <w:spacing w:before="100" w:beforeLines="0" w:after="100" w:afterLines="0"/>
        <w:ind w:left="0" w:leftChars="0" w:firstLine="482" w:firstLineChars="200"/>
        <w:jc w:val="left"/>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“三公”经费财政拨款支出决算实物量情况</w:t>
      </w:r>
    </w:p>
    <w:p w14:paraId="7840E564">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2023年度本部门</w:t>
      </w:r>
      <w:r>
        <w:rPr>
          <w:rFonts w:hint="eastAsia" w:ascii="宋体" w:hAnsi="宋体" w:eastAsia="宋体" w:cs="宋体"/>
          <w:b/>
          <w:color w:val="auto"/>
          <w:sz w:val="24"/>
          <w:szCs w:val="24"/>
          <w:lang w:val="zh-CN"/>
        </w:rPr>
        <w:t>因公出国(境)</w:t>
      </w:r>
      <w:r>
        <w:rPr>
          <w:rFonts w:hint="eastAsia" w:ascii="宋体" w:hAnsi="宋体" w:eastAsia="宋体" w:cs="宋体"/>
          <w:color w:val="auto"/>
          <w:sz w:val="24"/>
          <w:szCs w:val="24"/>
          <w:lang w:val="zh-CN"/>
        </w:rPr>
        <w:t>共计个团组</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val="zh-CN"/>
        </w:rPr>
        <w:t>人；</w:t>
      </w:r>
      <w:r>
        <w:rPr>
          <w:rFonts w:hint="eastAsia" w:ascii="宋体" w:hAnsi="宋体" w:eastAsia="宋体" w:cs="宋体"/>
          <w:b/>
          <w:color w:val="auto"/>
          <w:sz w:val="24"/>
          <w:szCs w:val="24"/>
          <w:lang w:val="zh-CN"/>
        </w:rPr>
        <w:t>公务用车购置</w:t>
      </w:r>
      <w:r>
        <w:rPr>
          <w:rFonts w:hint="eastAsia" w:ascii="宋体" w:hAnsi="宋体" w:eastAsia="宋体" w:cs="宋体"/>
          <w:b/>
          <w:color w:val="auto"/>
          <w:sz w:val="24"/>
          <w:szCs w:val="24"/>
          <w:lang w:val="en-US" w:eastAsia="zh-CN"/>
        </w:rPr>
        <w:t>0</w:t>
      </w:r>
      <w:r>
        <w:rPr>
          <w:rFonts w:hint="eastAsia" w:ascii="宋体" w:hAnsi="宋体" w:eastAsia="宋体" w:cs="宋体"/>
          <w:color w:val="auto"/>
          <w:sz w:val="24"/>
          <w:szCs w:val="24"/>
          <w:lang w:val="zh-CN"/>
        </w:rPr>
        <w:t>辆,</w:t>
      </w:r>
      <w:r>
        <w:rPr>
          <w:rFonts w:hint="eastAsia" w:ascii="宋体" w:hAnsi="宋体" w:eastAsia="宋体" w:cs="宋体"/>
          <w:b/>
          <w:color w:val="auto"/>
          <w:sz w:val="24"/>
          <w:szCs w:val="24"/>
          <w:lang w:val="zh-CN"/>
        </w:rPr>
        <w:t>公务用车保有量</w:t>
      </w:r>
      <w:r>
        <w:rPr>
          <w:rFonts w:hint="eastAsia" w:ascii="宋体" w:hAnsi="宋体" w:eastAsia="宋体" w:cs="宋体"/>
          <w:color w:val="auto"/>
          <w:sz w:val="24"/>
          <w:szCs w:val="24"/>
          <w:lang w:val="zh-CN"/>
        </w:rPr>
        <w:t>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val="zh-CN"/>
        </w:rPr>
        <w:t>辆；</w:t>
      </w:r>
      <w:r>
        <w:rPr>
          <w:rFonts w:hint="eastAsia" w:ascii="宋体" w:hAnsi="宋体" w:eastAsia="宋体" w:cs="宋体"/>
          <w:b/>
          <w:color w:val="auto"/>
          <w:sz w:val="24"/>
          <w:szCs w:val="24"/>
          <w:lang w:val="zh-CN"/>
        </w:rPr>
        <w:t>国内公务接待</w:t>
      </w:r>
      <w:r>
        <w:rPr>
          <w:rFonts w:hint="eastAsia" w:ascii="宋体" w:hAnsi="宋体" w:eastAsia="宋体" w:cs="宋体"/>
          <w:color w:val="auto"/>
          <w:sz w:val="24"/>
          <w:szCs w:val="24"/>
          <w:lang w:val="zh-CN"/>
        </w:rPr>
        <w:t>3批次16人,其中：</w:t>
      </w:r>
      <w:r>
        <w:rPr>
          <w:rFonts w:hint="eastAsia" w:ascii="宋体" w:hAnsi="宋体" w:eastAsia="宋体" w:cs="宋体"/>
          <w:b/>
          <w:color w:val="auto"/>
          <w:sz w:val="24"/>
          <w:szCs w:val="24"/>
          <w:lang w:val="zh-CN"/>
        </w:rPr>
        <w:t>外事接待</w:t>
      </w:r>
      <w:r>
        <w:rPr>
          <w:rFonts w:hint="eastAsia" w:ascii="宋体" w:hAnsi="宋体" w:eastAsia="宋体" w:cs="宋体"/>
          <w:b/>
          <w:color w:val="auto"/>
          <w:sz w:val="24"/>
          <w:szCs w:val="24"/>
          <w:lang w:val="en-US" w:eastAsia="zh-CN"/>
        </w:rPr>
        <w:t>0</w:t>
      </w:r>
      <w:r>
        <w:rPr>
          <w:rFonts w:hint="eastAsia" w:ascii="宋体" w:hAnsi="宋体" w:eastAsia="宋体" w:cs="宋体"/>
          <w:color w:val="auto"/>
          <w:sz w:val="24"/>
          <w:szCs w:val="24"/>
          <w:lang w:val="zh-CN"/>
        </w:rPr>
        <w:t>批次</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val="zh-CN"/>
        </w:rPr>
        <w:t>人；</w:t>
      </w:r>
      <w:r>
        <w:rPr>
          <w:rFonts w:hint="eastAsia" w:ascii="宋体" w:hAnsi="宋体" w:eastAsia="宋体" w:cs="宋体"/>
          <w:b/>
          <w:color w:val="auto"/>
          <w:sz w:val="24"/>
          <w:szCs w:val="24"/>
          <w:lang w:val="zh-CN"/>
        </w:rPr>
        <w:t>国(境)外公务接待</w:t>
      </w:r>
      <w:r>
        <w:rPr>
          <w:rFonts w:hint="eastAsia" w:ascii="宋体" w:hAnsi="宋体" w:eastAsia="宋体" w:cs="宋体"/>
          <w:b/>
          <w:color w:val="auto"/>
          <w:sz w:val="24"/>
          <w:szCs w:val="24"/>
          <w:lang w:val="en-US" w:eastAsia="zh-CN"/>
        </w:rPr>
        <w:t>0</w:t>
      </w:r>
      <w:r>
        <w:rPr>
          <w:rFonts w:hint="eastAsia" w:ascii="宋体" w:hAnsi="宋体" w:eastAsia="宋体" w:cs="宋体"/>
          <w:color w:val="auto"/>
          <w:sz w:val="24"/>
          <w:szCs w:val="24"/>
          <w:lang w:val="zh-CN"/>
        </w:rPr>
        <w:t>批次</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val="zh-CN"/>
        </w:rPr>
        <w:t>人。</w:t>
      </w:r>
    </w:p>
    <w:p w14:paraId="67377490">
      <w:pPr>
        <w:keepNext w:val="0"/>
        <w:keepLines w:val="0"/>
        <w:pageBreakBefore w:val="0"/>
        <w:widowControl/>
        <w:numPr>
          <w:ilvl w:val="0"/>
          <w:numId w:val="3"/>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机关运行经费支出情况说明</w:t>
      </w:r>
    </w:p>
    <w:p w14:paraId="6EE8D035">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FF0000"/>
          <w:sz w:val="24"/>
          <w:szCs w:val="24"/>
          <w:lang w:val="zh-CN"/>
        </w:rPr>
      </w:pPr>
      <w:r>
        <w:rPr>
          <w:rFonts w:hint="eastAsia" w:ascii="宋体" w:hAnsi="宋体" w:eastAsia="宋体" w:cs="宋体"/>
          <w:color w:val="auto"/>
          <w:sz w:val="24"/>
          <w:szCs w:val="24"/>
          <w:lang w:val="zh-CN"/>
        </w:rPr>
        <w:t>我单位2023年度无机关运行相关经费。</w:t>
      </w:r>
    </w:p>
    <w:p w14:paraId="40B2AE30">
      <w:pPr>
        <w:keepNext w:val="0"/>
        <w:keepLines w:val="0"/>
        <w:pageBreakBefore w:val="0"/>
        <w:widowControl/>
        <w:numPr>
          <w:ilvl w:val="0"/>
          <w:numId w:val="3"/>
        </w:numPr>
        <w:kinsoku/>
        <w:wordWrap/>
        <w:overflowPunct/>
        <w:topLinePunct w:val="0"/>
        <w:autoSpaceDE/>
        <w:autoSpaceDN/>
        <w:bidi w:val="0"/>
        <w:adjustRightInd/>
        <w:snapToGrid/>
        <w:spacing w:before="100" w:beforeLines="0" w:after="100" w:afterLines="0"/>
        <w:ind w:left="0" w:leftChars="0"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政府采购支出情况说明</w:t>
      </w:r>
    </w:p>
    <w:p w14:paraId="66AB76A7">
      <w:pPr>
        <w:keepNext w:val="0"/>
        <w:keepLines w:val="0"/>
        <w:pageBreakBefore w:val="0"/>
        <w:widowControl/>
        <w:numPr>
          <w:ilvl w:val="0"/>
          <w:numId w:val="3"/>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2023年度本部门政府采购支出合计</w:t>
      </w:r>
      <w:r>
        <w:rPr>
          <w:rFonts w:hint="eastAsia" w:ascii="宋体" w:hAnsi="宋体" w:eastAsia="宋体" w:cs="宋体"/>
          <w:color w:val="auto"/>
          <w:sz w:val="24"/>
          <w:szCs w:val="24"/>
          <w:lang w:val="en-US" w:eastAsia="zh-CN"/>
        </w:rPr>
        <w:t>6.55</w:t>
      </w:r>
      <w:r>
        <w:rPr>
          <w:rFonts w:hint="eastAsia" w:ascii="宋体" w:hAnsi="宋体" w:eastAsia="宋体" w:cs="宋体"/>
          <w:color w:val="auto"/>
          <w:sz w:val="24"/>
          <w:szCs w:val="24"/>
          <w:lang w:val="zh-CN"/>
        </w:rPr>
        <w:t>万元,其中：政府采购货物支出</w:t>
      </w:r>
      <w:r>
        <w:rPr>
          <w:rFonts w:hint="eastAsia" w:ascii="宋体" w:hAnsi="宋体" w:eastAsia="宋体" w:cs="宋体"/>
          <w:color w:val="auto"/>
          <w:sz w:val="24"/>
          <w:szCs w:val="24"/>
          <w:lang w:val="en-US" w:eastAsia="zh-CN"/>
        </w:rPr>
        <w:t>4.57</w:t>
      </w:r>
      <w:r>
        <w:rPr>
          <w:rFonts w:hint="eastAsia" w:ascii="宋体" w:hAnsi="宋体" w:eastAsia="宋体" w:cs="宋体"/>
          <w:color w:val="auto"/>
          <w:sz w:val="24"/>
          <w:szCs w:val="24"/>
          <w:lang w:val="zh-CN"/>
        </w:rPr>
        <w:t>万元、政府采购服务支出</w:t>
      </w:r>
      <w:r>
        <w:rPr>
          <w:rFonts w:hint="eastAsia" w:ascii="宋体" w:hAnsi="宋体" w:eastAsia="宋体" w:cs="宋体"/>
          <w:color w:val="auto"/>
          <w:sz w:val="24"/>
          <w:szCs w:val="24"/>
          <w:lang w:val="en-US" w:eastAsia="zh-CN"/>
        </w:rPr>
        <w:t>1.98</w:t>
      </w:r>
      <w:r>
        <w:rPr>
          <w:rFonts w:hint="eastAsia" w:ascii="宋体" w:hAnsi="宋体" w:eastAsia="宋体" w:cs="宋体"/>
          <w:color w:val="auto"/>
          <w:sz w:val="24"/>
          <w:szCs w:val="24"/>
          <w:lang w:val="zh-CN"/>
        </w:rPr>
        <w:t>万元。其中：授予小微企业合同金额</w:t>
      </w:r>
      <w:r>
        <w:rPr>
          <w:rFonts w:hint="eastAsia" w:ascii="宋体" w:hAnsi="宋体" w:eastAsia="宋体" w:cs="宋体"/>
          <w:color w:val="auto"/>
          <w:sz w:val="24"/>
          <w:szCs w:val="24"/>
          <w:lang w:val="en-US" w:eastAsia="zh-CN"/>
        </w:rPr>
        <w:t>6.55</w:t>
      </w:r>
      <w:r>
        <w:rPr>
          <w:rFonts w:hint="eastAsia" w:ascii="宋体" w:hAnsi="宋体" w:eastAsia="宋体" w:cs="宋体"/>
          <w:color w:val="auto"/>
          <w:sz w:val="24"/>
          <w:szCs w:val="24"/>
          <w:lang w:val="zh-CN"/>
        </w:rPr>
        <w:t>万元,占政府采购支出总额的</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lang w:val="zh-CN"/>
        </w:rPr>
        <w:t>%。</w:t>
      </w:r>
    </w:p>
    <w:p w14:paraId="258BF38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en-US" w:eastAsia="zh-CN"/>
        </w:rPr>
        <w:t>十二</w:t>
      </w:r>
      <w:r>
        <w:rPr>
          <w:rFonts w:hint="eastAsia" w:ascii="宋体" w:hAnsi="宋体" w:eastAsia="宋体" w:cs="宋体"/>
          <w:b/>
          <w:bCs/>
          <w:color w:val="auto"/>
          <w:sz w:val="24"/>
          <w:szCs w:val="24"/>
          <w:lang w:val="zh-CN" w:eastAsia="zh-CN"/>
        </w:rPr>
        <w:t>、国有资产占用情况说明</w:t>
      </w:r>
    </w:p>
    <w:p w14:paraId="4EDADEAD">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截至2023年12月31日,本部门共有车辆2辆,</w:t>
      </w:r>
      <w:r>
        <w:rPr>
          <w:rFonts w:hint="eastAsia" w:ascii="宋体" w:hAnsi="宋体" w:eastAsia="宋体" w:cs="宋体"/>
          <w:color w:val="auto"/>
          <w:sz w:val="24"/>
          <w:szCs w:val="24"/>
          <w:lang w:val="en-US" w:eastAsia="zh-CN"/>
        </w:rPr>
        <w:t>资产系统已于2023年12月20日做报废处置，</w:t>
      </w:r>
      <w:r>
        <w:rPr>
          <w:rFonts w:hint="eastAsia" w:ascii="宋体" w:hAnsi="宋体" w:eastAsia="宋体" w:cs="宋体"/>
          <w:color w:val="auto"/>
          <w:sz w:val="24"/>
          <w:szCs w:val="24"/>
          <w:lang w:val="zh-CN"/>
        </w:rPr>
        <w:t>其中,副部(省)级及以上领导用车0辆、主要领导干部用车0辆、机要通信用车0辆、应急保障用车0辆、执法执勤用车0辆,特种专业技术用车0辆,离退休干部用车0辆,其他用车2辆,</w:t>
      </w:r>
      <w:r>
        <w:rPr>
          <w:rFonts w:hint="eastAsia" w:ascii="宋体" w:hAnsi="宋体" w:eastAsia="宋体" w:cs="宋体"/>
          <w:color w:val="auto"/>
          <w:sz w:val="24"/>
          <w:szCs w:val="24"/>
          <w:lang w:val="en-US" w:eastAsia="zh-CN"/>
        </w:rPr>
        <w:t>资产系统已于2023年12月20日做报废处置</w:t>
      </w:r>
      <w:r>
        <w:rPr>
          <w:rFonts w:hint="eastAsia" w:ascii="宋体" w:hAnsi="宋体" w:eastAsia="宋体" w:cs="宋体"/>
          <w:color w:val="auto"/>
          <w:sz w:val="24"/>
          <w:szCs w:val="24"/>
          <w:lang w:val="zh-CN"/>
        </w:rPr>
        <w:t>。单价100万元(含)以上设备0台(套)。</w:t>
      </w:r>
    </w:p>
    <w:p w14:paraId="37D2898F">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十三、其他需要说明的情况</w:t>
      </w:r>
    </w:p>
    <w:p w14:paraId="0712811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由于决算公开表格中金额数值应当保留两位小数，公开数据为四舍五入计算结果，个别数据合计项与分项之和存在小数点后差额，特此说明。</w:t>
      </w:r>
    </w:p>
    <w:p w14:paraId="75A660E5">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p>
    <w:p w14:paraId="6B3B2D6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sz w:val="24"/>
          <w:szCs w:val="24"/>
          <w:lang w:val="zh-CN"/>
        </w:rPr>
      </w:pPr>
    </w:p>
    <w:p w14:paraId="56973665">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28FA98F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7C23D76C">
      <w:pPr>
        <w:keepNext/>
        <w:keepLines/>
        <w:pageBreakBefore w:val="0"/>
        <w:widowControl/>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w:t>
      </w:r>
      <w:r>
        <w:rPr>
          <w:rFonts w:hint="eastAsia" w:ascii="宋体" w:hAnsi="宋体" w:eastAsia="宋体" w:cs="宋体"/>
          <w:color w:val="auto"/>
          <w:kern w:val="0"/>
          <w:sz w:val="24"/>
          <w:szCs w:val="24"/>
          <w:lang w:val="en-US"/>
        </w:rPr>
        <w:t>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248.42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49.9</w:t>
      </w:r>
      <w:r>
        <w:rPr>
          <w:rFonts w:hint="eastAsia" w:ascii="宋体" w:hAnsi="宋体" w:eastAsia="宋体" w:cs="宋体"/>
          <w:color w:val="auto"/>
          <w:kern w:val="0"/>
          <w:sz w:val="24"/>
          <w:szCs w:val="24"/>
          <w:lang w:val="en-US"/>
        </w:rPr>
        <w:t>%。组织对“</w:t>
      </w:r>
      <w:r>
        <w:rPr>
          <w:rFonts w:hint="eastAsia" w:ascii="宋体" w:hAnsi="宋体" w:cs="宋体"/>
          <w:color w:val="auto"/>
          <w:kern w:val="0"/>
          <w:sz w:val="24"/>
          <w:szCs w:val="24"/>
          <w:lang w:val="en-US" w:eastAsia="zh-CN"/>
        </w:rPr>
        <w:t>公共交通运营补助</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农村客运城市交通发展奖励资金</w:t>
      </w:r>
      <w:r>
        <w:rPr>
          <w:rFonts w:hint="eastAsia" w:ascii="宋体" w:hAnsi="宋体" w:eastAsia="宋体" w:cs="宋体"/>
          <w:color w:val="auto"/>
          <w:kern w:val="0"/>
          <w:sz w:val="24"/>
          <w:szCs w:val="24"/>
          <w:lang w:val="en-US"/>
        </w:rPr>
        <w:t>”等</w:t>
      </w: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lang w:val="en-US"/>
        </w:rPr>
        <w:t>个项目开展了部门评价,涉及一般公共预算支出</w:t>
      </w:r>
      <w:r>
        <w:rPr>
          <w:rFonts w:hint="eastAsia" w:ascii="宋体" w:hAnsi="宋体" w:cs="宋体"/>
          <w:color w:val="auto"/>
          <w:kern w:val="0"/>
          <w:sz w:val="24"/>
          <w:szCs w:val="24"/>
          <w:lang w:val="en-US" w:eastAsia="zh-CN"/>
        </w:rPr>
        <w:t>248.42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。从评价情况来看,</w:t>
      </w:r>
      <w:r>
        <w:rPr>
          <w:rFonts w:hint="eastAsia" w:ascii="宋体" w:hAnsi="宋体" w:cs="宋体"/>
          <w:color w:val="auto"/>
          <w:kern w:val="0"/>
          <w:sz w:val="24"/>
          <w:szCs w:val="24"/>
          <w:lang w:val="en-US" w:eastAsia="zh-CN"/>
        </w:rPr>
        <w:t>评价的项目符合经济社会发展规划和部门年度工作计划项目决策程序符合申报条件，申报程序符合相关管理办法。项目资金到位及时，资金使用依据合规、不存在截留、挤占、挪用、超标准开支等情况。</w:t>
      </w:r>
    </w:p>
    <w:p w14:paraId="68AB4EC9">
      <w:pPr>
        <w:pageBreakBefore w:val="0"/>
        <w:widowControl/>
        <w:numPr>
          <w:ilvl w:val="0"/>
          <w:numId w:val="4"/>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绩效自评结果</w:t>
      </w:r>
    </w:p>
    <w:p w14:paraId="47E1AD37">
      <w:pPr>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s="宋体"/>
          <w:color w:val="auto"/>
          <w:kern w:val="0"/>
          <w:sz w:val="24"/>
          <w:szCs w:val="24"/>
          <w:lang w:val="en-US" w:eastAsia="zh-CN"/>
        </w:rPr>
        <w:t>公共交通运营补助</w:t>
      </w:r>
      <w:r>
        <w:rPr>
          <w:rFonts w:hint="eastAsia" w:ascii="宋体" w:hAnsi="宋体" w:eastAsia="宋体" w:cs="宋体"/>
          <w:color w:val="auto"/>
          <w:kern w:val="0"/>
          <w:sz w:val="24"/>
          <w:szCs w:val="24"/>
          <w:highlight w:val="none"/>
          <w:lang w:val="en-US"/>
        </w:rPr>
        <w:t>、</w:t>
      </w:r>
      <w:r>
        <w:rPr>
          <w:rFonts w:hint="eastAsia" w:ascii="宋体" w:hAnsi="宋体" w:cs="宋体"/>
          <w:color w:val="auto"/>
          <w:kern w:val="0"/>
          <w:sz w:val="24"/>
          <w:szCs w:val="24"/>
          <w:lang w:val="en-US" w:eastAsia="zh-CN"/>
        </w:rPr>
        <w:t>农村客运城市交通发展奖励资金</w:t>
      </w:r>
      <w:r>
        <w:rPr>
          <w:rFonts w:hint="eastAsia" w:ascii="宋体" w:hAnsi="宋体" w:eastAsia="宋体" w:cs="宋体"/>
          <w:color w:val="auto"/>
          <w:kern w:val="0"/>
          <w:sz w:val="24"/>
          <w:szCs w:val="24"/>
          <w:highlight w:val="none"/>
          <w:lang w:val="en-US"/>
        </w:rPr>
        <w:t>等</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rPr>
        <w:t>个项目绩效自评结果。</w:t>
      </w:r>
    </w:p>
    <w:p w14:paraId="43AC1816">
      <w:pPr>
        <w:pageBreakBefore w:val="0"/>
        <w:widowControl/>
        <w:numPr>
          <w:ilvl w:val="0"/>
          <w:numId w:val="5"/>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s="宋体"/>
          <w:color w:val="auto"/>
          <w:kern w:val="0"/>
          <w:sz w:val="24"/>
          <w:szCs w:val="24"/>
          <w:lang w:val="en-US" w:eastAsia="zh-CN"/>
        </w:rPr>
      </w:pP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农村客运城市交通发展奖励资金</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56.98</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56.98</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%。项目绩效目标完成情况：</w:t>
      </w:r>
      <w:r>
        <w:rPr>
          <w:rFonts w:hint="eastAsia" w:ascii="宋体" w:hAnsi="宋体" w:cs="宋体"/>
          <w:color w:val="auto"/>
          <w:kern w:val="0"/>
          <w:sz w:val="24"/>
          <w:szCs w:val="24"/>
          <w:lang w:val="en-US" w:eastAsia="zh-CN"/>
        </w:rPr>
        <w:t>完成2023年度农村客运、城市交通发展奖励资金费改税部分资金发放</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农村客运城市交通发展奖励资金</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遵循了“客观公正，实事求是”的原则，运用科学合理的绩效评价方法，对2023年度农村客运、城市交通发展奖励资金费改税部分资金项目进行了客观、公正的评价</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 xml:space="preserve"> </w:t>
      </w:r>
    </w:p>
    <w:p w14:paraId="557E8812">
      <w:pPr>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auto"/>
          <w:kern w:val="0"/>
          <w:sz w:val="24"/>
          <w:szCs w:val="24"/>
          <w:lang w:val="en-US"/>
        </w:rPr>
      </w:pPr>
      <w:r>
        <w:rPr>
          <w:rFonts w:hint="eastAsia" w:ascii="宋体" w:hAnsi="宋体" w:eastAsia="宋体" w:cs="宋体"/>
          <w:color w:val="auto"/>
          <w:kern w:val="0"/>
          <w:sz w:val="24"/>
          <w:szCs w:val="24"/>
          <w:lang w:val="en-US" w:eastAsia="zh-CN"/>
        </w:rPr>
        <w:t>2.“</w:t>
      </w:r>
      <w:r>
        <w:rPr>
          <w:rFonts w:hint="eastAsia" w:ascii="宋体" w:hAnsi="宋体" w:cs="宋体"/>
          <w:color w:val="auto"/>
          <w:kern w:val="0"/>
          <w:sz w:val="24"/>
          <w:szCs w:val="24"/>
          <w:lang w:val="en-US" w:eastAsia="zh-CN"/>
        </w:rPr>
        <w:t>公共交通运营补助</w:t>
      </w:r>
      <w:r>
        <w:rPr>
          <w:rFonts w:hint="eastAsia" w:ascii="宋体" w:hAnsi="宋体" w:eastAsia="宋体" w:cs="宋体"/>
          <w:color w:val="auto"/>
          <w:kern w:val="0"/>
          <w:sz w:val="24"/>
          <w:szCs w:val="24"/>
          <w:lang w:val="en-US" w:eastAsia="zh-CN"/>
        </w:rPr>
        <w:t>”项目</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184.32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184.32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%。项目绩效目标完成情况：</w:t>
      </w:r>
      <w:r>
        <w:rPr>
          <w:rFonts w:hint="eastAsia" w:ascii="宋体" w:hAnsi="宋体" w:cs="宋体"/>
          <w:color w:val="auto"/>
          <w:kern w:val="0"/>
          <w:sz w:val="24"/>
          <w:szCs w:val="24"/>
          <w:lang w:val="en-US" w:eastAsia="zh-CN"/>
        </w:rPr>
        <w:t>完成2023年度农村客运、出租车、公交车油价补贴资金发放</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农村客运城市交通发展奖励资金</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遵循了“客观公正，实事求是”的原则，运用科学合理的绩效评价方法，对2023年度农村客运、城市交通发展奖励资金费改税部分资金项目进行了客观、公正的评价</w:t>
      </w:r>
      <w:r>
        <w:rPr>
          <w:rFonts w:hint="eastAsia" w:ascii="宋体" w:hAnsi="宋体" w:eastAsia="宋体" w:cs="宋体"/>
          <w:color w:val="auto"/>
          <w:kern w:val="0"/>
          <w:sz w:val="24"/>
          <w:szCs w:val="24"/>
          <w:lang w:val="en-US"/>
        </w:rPr>
        <w:t>。</w:t>
      </w:r>
    </w:p>
    <w:p w14:paraId="4B1C4BA9">
      <w:pPr>
        <w:keepNext/>
        <w:keepLines/>
        <w:pageBreakBefore w:val="0"/>
        <w:widowControl/>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宋体" w:hAnsi="宋体" w:eastAsia="宋体" w:cs="宋体"/>
          <w:color w:val="auto"/>
          <w:kern w:val="0"/>
          <w:sz w:val="24"/>
          <w:szCs w:val="24"/>
          <w:lang w:val="en-US"/>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驻村帮扶工作经费</w:t>
      </w:r>
      <w:r>
        <w:rPr>
          <w:rFonts w:hint="eastAsia" w:ascii="宋体" w:hAnsi="宋体" w:eastAsia="宋体" w:cs="宋体"/>
          <w:color w:val="auto"/>
          <w:kern w:val="0"/>
          <w:sz w:val="24"/>
          <w:szCs w:val="24"/>
          <w:lang w:val="en-US" w:eastAsia="zh-CN"/>
        </w:rPr>
        <w:t>”项目</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2.122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2.122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%。项目绩效目标完成情况：</w:t>
      </w:r>
      <w:r>
        <w:rPr>
          <w:rFonts w:hint="eastAsia" w:ascii="宋体" w:hAnsi="宋体" w:cs="宋体"/>
          <w:color w:val="auto"/>
          <w:kern w:val="0"/>
          <w:sz w:val="24"/>
          <w:szCs w:val="24"/>
          <w:lang w:val="en-US" w:eastAsia="zh-CN"/>
        </w:rPr>
        <w:t>完成驻村帮扶工作经费支付</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驻村帮扶工作经费</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遵循了“客观公正，实事求是”的原则，运用科学合理的绩效评价方法，对驻村帮扶工作经费项目进行了客观、公正的评价</w:t>
      </w:r>
      <w:r>
        <w:rPr>
          <w:rFonts w:hint="eastAsia" w:ascii="宋体" w:hAnsi="宋体" w:eastAsia="宋体" w:cs="宋体"/>
          <w:color w:val="auto"/>
          <w:kern w:val="0"/>
          <w:sz w:val="24"/>
          <w:szCs w:val="24"/>
          <w:lang w:val="en-US"/>
        </w:rPr>
        <w:t>。</w:t>
      </w:r>
    </w:p>
    <w:p w14:paraId="5C476FFA">
      <w:pPr>
        <w:keepNext/>
        <w:keepLines/>
        <w:pageBreakBefore w:val="0"/>
        <w:widowControl/>
        <w:suppressLineNumbers/>
        <w:kinsoku/>
        <w:wordWrap/>
        <w:overflowPunct/>
        <w:topLinePunct w:val="0"/>
        <w:autoSpaceDE/>
        <w:autoSpaceDN/>
        <w:bidi w:val="0"/>
        <w:adjustRightInd/>
        <w:snapToGrid/>
        <w:spacing w:beforeLines="0" w:afterLines="0"/>
        <w:ind w:firstLine="480" w:firstLineChars="200"/>
        <w:jc w:val="both"/>
        <w:textAlignment w:val="auto"/>
        <w:rPr>
          <w:rFonts w:hint="eastAsia" w:ascii="宋体" w:hAnsi="宋体" w:eastAsia="宋体" w:cs="宋体"/>
          <w:color w:val="auto"/>
          <w:kern w:val="0"/>
          <w:sz w:val="24"/>
          <w:szCs w:val="24"/>
          <w:lang w:val="en-US"/>
        </w:rPr>
      </w:pP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道路交通安全专项经费</w:t>
      </w:r>
      <w:r>
        <w:rPr>
          <w:rFonts w:hint="eastAsia" w:ascii="宋体" w:hAnsi="宋体" w:eastAsia="宋体" w:cs="宋体"/>
          <w:color w:val="auto"/>
          <w:kern w:val="0"/>
          <w:sz w:val="24"/>
          <w:szCs w:val="24"/>
          <w:lang w:val="en-US" w:eastAsia="zh-CN"/>
        </w:rPr>
        <w:t>”项目</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%。项目绩效目标完成情况：</w:t>
      </w:r>
      <w:r>
        <w:rPr>
          <w:rFonts w:hint="eastAsia" w:ascii="宋体" w:hAnsi="宋体" w:cs="宋体"/>
          <w:color w:val="auto"/>
          <w:kern w:val="0"/>
          <w:sz w:val="24"/>
          <w:szCs w:val="24"/>
          <w:lang w:val="en-US" w:eastAsia="zh-CN"/>
        </w:rPr>
        <w:t>完成道路交通安全专项经费支付</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道路交通安全专项经费</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遵循了“客观公正，实事求是”的原则，运用科学合理的绩效评价方法，对道路交通安全专项经费项目进行了客观、公正的评价</w:t>
      </w:r>
      <w:r>
        <w:rPr>
          <w:rFonts w:hint="eastAsia" w:ascii="宋体" w:hAnsi="宋体" w:eastAsia="宋体" w:cs="宋体"/>
          <w:color w:val="auto"/>
          <w:kern w:val="0"/>
          <w:sz w:val="24"/>
          <w:szCs w:val="24"/>
          <w:lang w:val="en-US"/>
        </w:rPr>
        <w:t>。</w:t>
      </w:r>
    </w:p>
    <w:p w14:paraId="2CC07A91">
      <w:pPr>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1531625F">
      <w:pPr>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合理安排支出，保障部门工作正常运转，严格按照年初部门预算，认真贯彻各类经费的正常支出，保证机关正常运转，日常实施道路运输行业安全生产监督管理工作。</w:t>
      </w:r>
    </w:p>
    <w:p w14:paraId="26026CD6">
      <w:pPr>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2A794B61">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6EAECF8A">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1C369B0D">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F47FBD9">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6B369B85">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1D843DB4">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4A1329B6">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01D6B112">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7D10C575">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16735EB3">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5C121D1A">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0B2E0BAA">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E7C9C00">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B1D0F17">
      <w:pPr>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61AFC5EE">
      <w:pPr>
        <w:pageBreakBefore w:val="0"/>
        <w:widowControl/>
        <w:kinsoku/>
        <w:wordWrap/>
        <w:overflowPunct/>
        <w:topLinePunct w:val="0"/>
        <w:autoSpaceDE/>
        <w:autoSpaceDN/>
        <w:bidi w:val="0"/>
        <w:adjustRightInd/>
        <w:snapToGrid/>
        <w:spacing w:before="100" w:beforeLines="0" w:after="100" w:afterLines="0"/>
        <w:ind w:firstLine="640" w:firstLineChars="200"/>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信笺手写体">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ED60"/>
    <w:multiLevelType w:val="singleLevel"/>
    <w:tmpl w:val="66E0ED60"/>
    <w:lvl w:ilvl="0" w:tentative="0">
      <w:start w:val="2"/>
      <w:numFmt w:val="chineseCounting"/>
      <w:suff w:val="nothing"/>
      <w:lvlText w:val="（%1）"/>
      <w:lvlJc w:val="left"/>
      <w:rPr>
        <w:rFonts w:hint="eastAsia"/>
      </w:rPr>
    </w:lvl>
  </w:abstractNum>
  <w:abstractNum w:abstractNumId="1">
    <w:nsid w:val="66E0ED6B"/>
    <w:multiLevelType w:val="singleLevel"/>
    <w:tmpl w:val="66E0ED6B"/>
    <w:lvl w:ilvl="0" w:tentative="0">
      <w:start w:val="2"/>
      <w:numFmt w:val="chineseCounting"/>
      <w:lvlText w:val="(%1)"/>
      <w:lvlJc w:val="left"/>
      <w:pPr>
        <w:tabs>
          <w:tab w:val="left" w:pos="312"/>
        </w:tabs>
      </w:pPr>
      <w:rPr>
        <w:rFonts w:hint="eastAsia"/>
      </w:rPr>
    </w:lvl>
  </w:abstractNum>
  <w:abstractNum w:abstractNumId="2">
    <w:nsid w:val="66E1425F"/>
    <w:multiLevelType w:val="singleLevel"/>
    <w:tmpl w:val="66E1425F"/>
    <w:lvl w:ilvl="0" w:tentative="0">
      <w:start w:val="10"/>
      <w:numFmt w:val="chineseCounting"/>
      <w:suff w:val="nothing"/>
      <w:lvlText w:val="%1、"/>
      <w:lvlJc w:val="left"/>
    </w:lvl>
  </w:abstractNum>
  <w:abstractNum w:abstractNumId="3">
    <w:nsid w:val="66EA380A"/>
    <w:multiLevelType w:val="singleLevel"/>
    <w:tmpl w:val="66EA380A"/>
    <w:lvl w:ilvl="0" w:tentative="0">
      <w:start w:val="2"/>
      <w:numFmt w:val="chineseCounting"/>
      <w:suff w:val="nothing"/>
      <w:lvlText w:val="%1、"/>
      <w:lvlJc w:val="left"/>
    </w:lvl>
  </w:abstractNum>
  <w:abstractNum w:abstractNumId="4">
    <w:nsid w:val="66EA4258"/>
    <w:multiLevelType w:val="singleLevel"/>
    <w:tmpl w:val="66EA4258"/>
    <w:lvl w:ilvl="0" w:tentative="0">
      <w:start w:val="1"/>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DFhY2YwZGFkNTRkMjRhYTQ5NjA5OWNmNzI1N2UifQ=="/>
  </w:docVars>
  <w:rsids>
    <w:rsidRoot w:val="00000000"/>
    <w:rsid w:val="015408C2"/>
    <w:rsid w:val="25AB30C8"/>
    <w:rsid w:val="2DBB6197"/>
    <w:rsid w:val="462D1DED"/>
    <w:rsid w:val="526A3CE3"/>
    <w:rsid w:val="6DDC7AB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0b8aaae6-7132-46ec-be5c-88ca551e8cd3}">
  <ds:schemaRefs/>
</ds:datastoreItem>
</file>

<file path=customXml/itemProps2.xml><?xml version="1.0" encoding="utf-8"?>
<ds:datastoreItem xmlns:ds="http://schemas.openxmlformats.org/officeDocument/2006/customXml" ds:itemID="{12348e4f-a861-4a73-91b8-584d0626ec75}">
  <ds:schemaRefs/>
</ds:datastoreItem>
</file>

<file path=customXml/itemProps3.xml><?xml version="1.0" encoding="utf-8"?>
<ds:datastoreItem xmlns:ds="http://schemas.openxmlformats.org/officeDocument/2006/customXml" ds:itemID="{17affd15-cd51-4097-81ff-5f6f61450425}">
  <ds:schemaRefs/>
</ds:datastoreItem>
</file>

<file path=customXml/itemProps4.xml><?xml version="1.0" encoding="utf-8"?>
<ds:datastoreItem xmlns:ds="http://schemas.openxmlformats.org/officeDocument/2006/customXml" ds:itemID="{c56adf2b-669c-461c-9110-dc6e8142a62b}">
  <ds:schemaRefs/>
</ds:datastoreItem>
</file>

<file path=customXml/itemProps5.xml><?xml version="1.0" encoding="utf-8"?>
<ds:datastoreItem xmlns:ds="http://schemas.openxmlformats.org/officeDocument/2006/customXml" ds:itemID="{31022008-9e83-484b-a18f-bfb91b42e6de}">
  <ds:schemaRefs/>
</ds:datastoreItem>
</file>

<file path=customXml/itemProps6.xml><?xml version="1.0" encoding="utf-8"?>
<ds:datastoreItem xmlns:ds="http://schemas.openxmlformats.org/officeDocument/2006/customXml" ds:itemID="{1a540420-a3bb-410c-b285-49c85df1d4af}">
  <ds:schemaRefs/>
</ds:datastoreItem>
</file>

<file path=customXml/itemProps7.xml><?xml version="1.0" encoding="utf-8"?>
<ds:datastoreItem xmlns:ds="http://schemas.openxmlformats.org/officeDocument/2006/customXml" ds:itemID="{a3d90ba0-ec3a-44e0-a8be-51d55f8729ad}">
  <ds:schemaRefs/>
</ds:datastoreItem>
</file>

<file path=customXml/itemProps8.xml><?xml version="1.0" encoding="utf-8"?>
<ds:datastoreItem xmlns:ds="http://schemas.openxmlformats.org/officeDocument/2006/customXml" ds:itemID="{03c9443e-0386-4cc3-81e2-7491866b684e}">
  <ds:schemaRefs/>
</ds:datastoreItem>
</file>

<file path=customXml/itemProps9.xml><?xml version="1.0" encoding="utf-8"?>
<ds:datastoreItem xmlns:ds="http://schemas.openxmlformats.org/officeDocument/2006/customXml" ds:itemID="{5cbe691c-b2c9-48aa-ad82-c73a7880b8eb}">
  <ds:schemaRefs/>
</ds:datastoreItem>
</file>

<file path=docProps/app.xml><?xml version="1.0" encoding="utf-8"?>
<Properties xmlns="http://schemas.openxmlformats.org/officeDocument/2006/extended-properties" xmlns:vt="http://schemas.openxmlformats.org/officeDocument/2006/docPropsVTypes">
  <Template>Normal.dotm</Template>
  <Pages>8</Pages>
  <Words>5153</Words>
  <Characters>5642</Characters>
  <Lines>0</Lines>
  <Paragraphs>0</Paragraphs>
  <TotalTime>2</TotalTime>
  <ScaleCrop>false</ScaleCrop>
  <LinksUpToDate>false</LinksUpToDate>
  <CharactersWithSpaces>5647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萝大卜</cp:lastModifiedBy>
  <cp:lastPrinted>2024-09-19T08:26:25Z</cp:lastPrinted>
  <dcterms:modified xsi:type="dcterms:W3CDTF">2024-09-19T08:27:35Z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