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6578">
      <w:pPr>
        <w:widowControl/>
        <w:shd w:val="clear" w:color="auto" w:fill="FFFFFF"/>
        <w:spacing w:line="480" w:lineRule="auto"/>
        <w:ind w:firstLine="883" w:firstLineChars="200"/>
        <w:jc w:val="center"/>
        <w:rPr>
          <w:rFonts w:hint="eastAsia" w:ascii="宋体" w:hAnsi="宋体" w:eastAsia="宋体" w:cs="宋体"/>
          <w:b/>
          <w:bCs/>
          <w:color w:val="000000"/>
          <w:kern w:val="0"/>
          <w:sz w:val="44"/>
          <w:szCs w:val="44"/>
          <w:lang w:val="en-US" w:eastAsia="zh-CN"/>
        </w:rPr>
      </w:pPr>
      <w:r>
        <w:rPr>
          <w:rFonts w:hint="eastAsia" w:ascii="宋体" w:hAnsi="宋体" w:eastAsia="宋体" w:cs="宋体"/>
          <w:b/>
          <w:bCs/>
          <w:color w:val="000000"/>
          <w:kern w:val="0"/>
          <w:sz w:val="44"/>
          <w:szCs w:val="44"/>
          <w:lang w:val="en-US" w:eastAsia="zh-CN"/>
        </w:rPr>
        <w:t>华池县业余体校</w:t>
      </w:r>
    </w:p>
    <w:p w14:paraId="65CBF899">
      <w:pPr>
        <w:widowControl/>
        <w:shd w:val="clear" w:color="auto" w:fill="FFFFFF"/>
        <w:spacing w:line="480" w:lineRule="auto"/>
        <w:ind w:firstLine="883" w:firstLineChars="200"/>
        <w:jc w:val="center"/>
        <w:rPr>
          <w:rFonts w:hint="eastAsia" w:ascii="宋体" w:hAnsi="宋体" w:eastAsia="宋体" w:cs="宋体"/>
          <w:color w:val="000000"/>
          <w:kern w:val="0"/>
          <w:sz w:val="44"/>
          <w:szCs w:val="44"/>
          <w:lang w:val="en-US" w:eastAsia="zh-CN"/>
        </w:rPr>
      </w:pPr>
      <w:r>
        <w:rPr>
          <w:rFonts w:hint="eastAsia" w:ascii="宋体" w:hAnsi="宋体" w:eastAsia="宋体" w:cs="宋体"/>
          <w:b/>
          <w:bCs/>
          <w:color w:val="000000"/>
          <w:kern w:val="0"/>
          <w:sz w:val="44"/>
          <w:szCs w:val="44"/>
          <w:lang w:val="en-US" w:eastAsia="zh-CN"/>
        </w:rPr>
        <w:t>2023年部门整体自评报告</w:t>
      </w:r>
    </w:p>
    <w:p w14:paraId="2AA10391">
      <w:pPr>
        <w:widowControl/>
        <w:shd w:val="clear" w:color="auto" w:fill="FFFFFF"/>
        <w:spacing w:line="480" w:lineRule="auto"/>
        <w:ind w:firstLine="643" w:firstLineChars="200"/>
        <w:jc w:val="center"/>
        <w:rPr>
          <w:rFonts w:hint="eastAsia" w:ascii="仿宋" w:hAnsi="仿宋" w:eastAsia="仿宋" w:cs="黑体"/>
          <w:b/>
          <w:color w:val="333333"/>
          <w:kern w:val="0"/>
          <w:sz w:val="32"/>
          <w:szCs w:val="32"/>
          <w:lang w:eastAsia="zh-CN"/>
        </w:rPr>
      </w:pPr>
      <w:r>
        <w:rPr>
          <w:rFonts w:hint="eastAsia" w:ascii="仿宋" w:hAnsi="仿宋" w:eastAsia="仿宋" w:cs="黑体"/>
          <w:b/>
          <w:color w:val="333333"/>
          <w:kern w:val="0"/>
          <w:sz w:val="32"/>
          <w:szCs w:val="32"/>
          <w:lang w:eastAsia="zh-CN"/>
        </w:rPr>
        <w:t>（</w:t>
      </w:r>
      <w:r>
        <w:rPr>
          <w:rFonts w:hint="eastAsia" w:ascii="仿宋" w:hAnsi="仿宋" w:eastAsia="仿宋" w:cs="黑体"/>
          <w:b/>
          <w:color w:val="333333"/>
          <w:kern w:val="0"/>
          <w:sz w:val="32"/>
          <w:szCs w:val="32"/>
          <w:lang w:val="en-US" w:eastAsia="zh-CN"/>
        </w:rPr>
        <w:t>2023年度</w:t>
      </w:r>
      <w:r>
        <w:rPr>
          <w:rFonts w:hint="eastAsia" w:ascii="仿宋" w:hAnsi="仿宋" w:eastAsia="仿宋" w:cs="黑体"/>
          <w:b/>
          <w:color w:val="333333"/>
          <w:kern w:val="0"/>
          <w:sz w:val="32"/>
          <w:szCs w:val="32"/>
          <w:lang w:eastAsia="zh-CN"/>
        </w:rPr>
        <w:t>）</w:t>
      </w:r>
    </w:p>
    <w:p w14:paraId="3CB922FD">
      <w:pPr>
        <w:widowControl/>
        <w:shd w:val="clear" w:color="auto" w:fill="FFFFFF"/>
        <w:spacing w:line="480" w:lineRule="auto"/>
        <w:ind w:firstLine="643" w:firstLineChars="200"/>
        <w:jc w:val="left"/>
        <w:rPr>
          <w:rFonts w:hint="eastAsia" w:ascii="仿宋" w:hAnsi="仿宋" w:eastAsia="仿宋" w:cs="黑体"/>
          <w:b/>
          <w:bCs w:val="0"/>
          <w:color w:val="333333"/>
          <w:kern w:val="0"/>
          <w:sz w:val="32"/>
          <w:szCs w:val="32"/>
          <w:lang w:val="en-US" w:eastAsia="zh-CN"/>
        </w:rPr>
      </w:pPr>
      <w:r>
        <w:rPr>
          <w:rFonts w:hint="eastAsia" w:ascii="仿宋" w:hAnsi="仿宋" w:eastAsia="仿宋" w:cs="黑体"/>
          <w:b/>
          <w:bCs w:val="0"/>
          <w:color w:val="333333"/>
          <w:kern w:val="0"/>
          <w:sz w:val="32"/>
          <w:szCs w:val="32"/>
        </w:rPr>
        <w:t>一、</w:t>
      </w:r>
      <w:r>
        <w:rPr>
          <w:rFonts w:hint="eastAsia" w:ascii="仿宋" w:hAnsi="仿宋" w:eastAsia="仿宋" w:cs="黑体"/>
          <w:b/>
          <w:bCs w:val="0"/>
          <w:color w:val="333333"/>
          <w:kern w:val="0"/>
          <w:sz w:val="32"/>
          <w:szCs w:val="32"/>
          <w:lang w:val="en-US" w:eastAsia="zh-CN"/>
        </w:rPr>
        <w:t>部门概况</w:t>
      </w:r>
    </w:p>
    <w:p w14:paraId="38FA1E32">
      <w:pPr>
        <w:ind w:firstLine="643" w:firstLineChars="200"/>
        <w:jc w:val="left"/>
        <w:rPr>
          <w:rFonts w:hint="eastAsia" w:ascii="仿宋" w:hAnsi="仿宋" w:eastAsia="仿宋"/>
          <w:b/>
          <w:bCs w:val="0"/>
          <w:sz w:val="32"/>
          <w:szCs w:val="32"/>
          <w:lang w:val="en-US" w:eastAsia="zh-CN"/>
        </w:rPr>
      </w:pPr>
      <w:r>
        <w:rPr>
          <w:rFonts w:hint="eastAsia" w:ascii="仿宋" w:hAnsi="仿宋" w:eastAsia="仿宋"/>
          <w:b/>
          <w:bCs w:val="0"/>
          <w:sz w:val="32"/>
          <w:szCs w:val="32"/>
          <w:lang w:val="en-US" w:eastAsia="zh-CN"/>
        </w:rPr>
        <w:t>1、主要职能</w:t>
      </w:r>
    </w:p>
    <w:p w14:paraId="70979461">
      <w:pPr>
        <w:ind w:firstLine="640" w:firstLineChars="200"/>
        <w:jc w:val="left"/>
        <w:rPr>
          <w:rFonts w:hint="default"/>
          <w:lang w:val="en-US" w:eastAsia="zh-CN"/>
        </w:rPr>
      </w:pPr>
      <w:r>
        <w:rPr>
          <w:rFonts w:hint="eastAsia" w:ascii="仿宋" w:hAnsi="仿宋" w:eastAsia="仿宋"/>
          <w:sz w:val="32"/>
          <w:szCs w:val="32"/>
        </w:rPr>
        <w:t>我校职责为上级体校或大专院校输送和培养体育人才；培养基层体育骨干和三级社会体育指导员；参加各级各类体育赛事，组织开展全县群众体育活动。</w:t>
      </w:r>
    </w:p>
    <w:p w14:paraId="5F58A4A5">
      <w:pPr>
        <w:numPr>
          <w:ilvl w:val="0"/>
          <w:numId w:val="1"/>
        </w:numPr>
        <w:ind w:firstLine="643" w:firstLineChars="200"/>
        <w:jc w:val="left"/>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人员情况</w:t>
      </w:r>
    </w:p>
    <w:p w14:paraId="04F37652">
      <w:pPr>
        <w:numPr>
          <w:ilvl w:val="0"/>
          <w:numId w:val="0"/>
        </w:numPr>
        <w:ind w:firstLine="640" w:firstLineChars="200"/>
        <w:jc w:val="left"/>
        <w:rPr>
          <w:rFonts w:ascii="仿宋" w:hAnsi="仿宋" w:eastAsia="仿宋"/>
          <w:sz w:val="32"/>
          <w:szCs w:val="32"/>
        </w:rPr>
      </w:pPr>
      <w:r>
        <w:rPr>
          <w:rFonts w:hint="eastAsia" w:ascii="仿宋" w:hAnsi="仿宋" w:eastAsia="仿宋"/>
          <w:sz w:val="32"/>
          <w:szCs w:val="32"/>
        </w:rPr>
        <w:t>华池县业余体校成立于</w:t>
      </w:r>
      <w:r>
        <w:rPr>
          <w:rFonts w:ascii="仿宋" w:hAnsi="仿宋" w:eastAsia="仿宋"/>
          <w:sz w:val="32"/>
          <w:szCs w:val="32"/>
        </w:rPr>
        <w:t>1983</w:t>
      </w:r>
      <w:r>
        <w:rPr>
          <w:rFonts w:hint="eastAsia" w:ascii="仿宋" w:hAnsi="仿宋" w:eastAsia="仿宋"/>
          <w:sz w:val="32"/>
          <w:szCs w:val="32"/>
        </w:rPr>
        <w:t>年</w:t>
      </w:r>
      <w:r>
        <w:rPr>
          <w:rFonts w:ascii="仿宋" w:hAnsi="仿宋" w:eastAsia="仿宋"/>
          <w:sz w:val="32"/>
          <w:szCs w:val="32"/>
        </w:rPr>
        <w:t>,</w:t>
      </w:r>
      <w:r>
        <w:rPr>
          <w:rFonts w:hint="eastAsia" w:ascii="仿宋" w:hAnsi="仿宋" w:eastAsia="仿宋"/>
          <w:sz w:val="32"/>
          <w:szCs w:val="32"/>
        </w:rPr>
        <w:t>隶属华池县文旅局二级事业单位。现有在职职工1</w:t>
      </w:r>
      <w:r>
        <w:rPr>
          <w:rFonts w:hint="eastAsia" w:ascii="仿宋" w:hAnsi="仿宋" w:eastAsia="仿宋"/>
          <w:sz w:val="32"/>
          <w:szCs w:val="32"/>
          <w:lang w:val="en-US" w:eastAsia="zh-CN"/>
        </w:rPr>
        <w:t>7</w:t>
      </w:r>
      <w:r>
        <w:rPr>
          <w:rFonts w:hint="eastAsia" w:ascii="仿宋" w:hAnsi="仿宋" w:eastAsia="仿宋"/>
          <w:sz w:val="32"/>
          <w:szCs w:val="32"/>
        </w:rPr>
        <w:t>名，人员编制</w:t>
      </w:r>
      <w:r>
        <w:rPr>
          <w:rFonts w:ascii="仿宋" w:hAnsi="仿宋" w:eastAsia="仿宋"/>
          <w:sz w:val="32"/>
          <w:szCs w:val="32"/>
        </w:rPr>
        <w:t>1</w:t>
      </w:r>
      <w:r>
        <w:rPr>
          <w:rFonts w:hint="eastAsia" w:ascii="仿宋" w:hAnsi="仿宋" w:eastAsia="仿宋"/>
          <w:sz w:val="32"/>
          <w:szCs w:val="32"/>
          <w:lang w:val="en-US" w:eastAsia="zh-CN"/>
        </w:rPr>
        <w:t>5</w:t>
      </w:r>
      <w:r>
        <w:rPr>
          <w:rFonts w:hint="eastAsia" w:ascii="仿宋" w:hAnsi="仿宋" w:eastAsia="仿宋"/>
          <w:sz w:val="32"/>
          <w:szCs w:val="32"/>
        </w:rPr>
        <w:t>名，其中：校长</w:t>
      </w:r>
      <w:r>
        <w:rPr>
          <w:rFonts w:ascii="仿宋" w:hAnsi="仿宋" w:eastAsia="仿宋"/>
          <w:sz w:val="32"/>
          <w:szCs w:val="32"/>
        </w:rPr>
        <w:t>1</w:t>
      </w:r>
      <w:r>
        <w:rPr>
          <w:rFonts w:hint="eastAsia" w:ascii="仿宋" w:hAnsi="仿宋" w:eastAsia="仿宋"/>
          <w:sz w:val="32"/>
          <w:szCs w:val="32"/>
        </w:rPr>
        <w:t>名，副校长</w:t>
      </w:r>
      <w:r>
        <w:rPr>
          <w:rFonts w:ascii="仿宋" w:hAnsi="仿宋" w:eastAsia="仿宋"/>
          <w:sz w:val="32"/>
          <w:szCs w:val="32"/>
        </w:rPr>
        <w:t>2</w:t>
      </w:r>
      <w:r>
        <w:rPr>
          <w:rFonts w:hint="eastAsia" w:ascii="仿宋" w:hAnsi="仿宋" w:eastAsia="仿宋"/>
          <w:sz w:val="32"/>
          <w:szCs w:val="32"/>
        </w:rPr>
        <w:t>名，主任科员1名，党员</w:t>
      </w:r>
      <w:r>
        <w:rPr>
          <w:rFonts w:hint="eastAsia" w:ascii="仿宋" w:hAnsi="仿宋" w:eastAsia="仿宋"/>
          <w:sz w:val="32"/>
          <w:szCs w:val="32"/>
          <w:lang w:val="en-US" w:eastAsia="zh-CN"/>
        </w:rPr>
        <w:t>8</w:t>
      </w:r>
      <w:r>
        <w:rPr>
          <w:rFonts w:hint="eastAsia" w:ascii="仿宋" w:hAnsi="仿宋" w:eastAsia="仿宋"/>
          <w:sz w:val="32"/>
          <w:szCs w:val="32"/>
        </w:rPr>
        <w:t>名</w:t>
      </w:r>
      <w:r>
        <w:rPr>
          <w:rFonts w:ascii="仿宋" w:hAnsi="仿宋" w:eastAsia="仿宋"/>
          <w:sz w:val="32"/>
          <w:szCs w:val="32"/>
        </w:rPr>
        <w:t>,</w:t>
      </w:r>
      <w:r>
        <w:rPr>
          <w:rFonts w:hint="eastAsia" w:ascii="仿宋" w:hAnsi="仿宋" w:eastAsia="仿宋"/>
          <w:sz w:val="32"/>
          <w:szCs w:val="32"/>
        </w:rPr>
        <w:t>高级教练员</w:t>
      </w:r>
      <w:r>
        <w:rPr>
          <w:rFonts w:hint="eastAsia" w:ascii="仿宋" w:hAnsi="仿宋" w:eastAsia="仿宋"/>
          <w:sz w:val="32"/>
          <w:szCs w:val="32"/>
          <w:lang w:val="en-US" w:eastAsia="zh-CN"/>
        </w:rPr>
        <w:t>3</w:t>
      </w:r>
      <w:r>
        <w:rPr>
          <w:rFonts w:hint="eastAsia" w:ascii="仿宋" w:hAnsi="仿宋" w:eastAsia="仿宋"/>
          <w:sz w:val="32"/>
          <w:szCs w:val="32"/>
        </w:rPr>
        <w:t>名，中级教练员</w:t>
      </w:r>
      <w:r>
        <w:rPr>
          <w:rFonts w:hint="eastAsia" w:ascii="仿宋" w:hAnsi="仿宋" w:eastAsia="仿宋"/>
          <w:sz w:val="32"/>
          <w:szCs w:val="32"/>
          <w:lang w:val="en-US" w:eastAsia="zh-CN"/>
        </w:rPr>
        <w:t>6</w:t>
      </w:r>
      <w:r>
        <w:rPr>
          <w:rFonts w:hint="eastAsia" w:ascii="仿宋" w:hAnsi="仿宋" w:eastAsia="仿宋"/>
          <w:sz w:val="32"/>
          <w:szCs w:val="32"/>
        </w:rPr>
        <w:t>名，初级教练员</w:t>
      </w:r>
      <w:r>
        <w:rPr>
          <w:rFonts w:hint="eastAsia" w:ascii="仿宋" w:hAnsi="仿宋" w:eastAsia="仿宋"/>
          <w:sz w:val="32"/>
          <w:szCs w:val="32"/>
          <w:lang w:val="en-US" w:eastAsia="zh-CN"/>
        </w:rPr>
        <w:t>5</w:t>
      </w:r>
      <w:r>
        <w:rPr>
          <w:rFonts w:hint="eastAsia" w:ascii="仿宋" w:hAnsi="仿宋" w:eastAsia="仿宋"/>
          <w:sz w:val="32"/>
          <w:szCs w:val="32"/>
        </w:rPr>
        <w:t>名。属财政全额拨款事业单位。</w:t>
      </w:r>
    </w:p>
    <w:p w14:paraId="153A0667">
      <w:pPr>
        <w:widowControl/>
        <w:shd w:val="clear" w:color="auto" w:fill="FFFFFF"/>
        <w:spacing w:line="480" w:lineRule="auto"/>
        <w:ind w:firstLine="643" w:firstLineChars="200"/>
        <w:jc w:val="left"/>
        <w:rPr>
          <w:rFonts w:hint="default" w:ascii="仿宋" w:hAnsi="仿宋" w:eastAsia="仿宋" w:cs="仿宋_GB2312"/>
          <w:b/>
          <w:color w:val="333333"/>
          <w:kern w:val="0"/>
          <w:sz w:val="32"/>
          <w:szCs w:val="32"/>
          <w:lang w:val="en-US" w:eastAsia="zh-CN"/>
        </w:rPr>
      </w:pPr>
      <w:r>
        <w:rPr>
          <w:rFonts w:hint="eastAsia" w:ascii="仿宋" w:hAnsi="仿宋" w:eastAsia="仿宋" w:cs="仿宋_GB2312"/>
          <w:b/>
          <w:color w:val="333333"/>
          <w:kern w:val="0"/>
          <w:sz w:val="32"/>
          <w:szCs w:val="32"/>
        </w:rPr>
        <w:t>二、</w:t>
      </w:r>
      <w:r>
        <w:rPr>
          <w:rFonts w:hint="eastAsia" w:ascii="仿宋" w:hAnsi="仿宋" w:eastAsia="仿宋" w:cs="仿宋_GB2312"/>
          <w:b/>
          <w:color w:val="333333"/>
          <w:kern w:val="0"/>
          <w:sz w:val="32"/>
          <w:szCs w:val="32"/>
          <w:lang w:val="en-US" w:eastAsia="zh-CN"/>
        </w:rPr>
        <w:t>部门整体支出绩效实现情况</w:t>
      </w:r>
    </w:p>
    <w:p w14:paraId="345EDBF6">
      <w:pPr>
        <w:widowControl/>
        <w:shd w:val="clear" w:color="auto" w:fill="FFFFFF"/>
        <w:spacing w:line="480" w:lineRule="auto"/>
        <w:ind w:firstLine="643" w:firstLineChars="200"/>
        <w:jc w:val="left"/>
        <w:rPr>
          <w:rFonts w:hint="eastAsia" w:ascii="仿宋" w:hAnsi="仿宋" w:eastAsia="仿宋" w:cs="仿宋_GB2312"/>
          <w:b/>
          <w:bCs/>
          <w:color w:val="333333"/>
          <w:kern w:val="0"/>
          <w:sz w:val="32"/>
          <w:szCs w:val="32"/>
          <w:lang w:val="en-US" w:eastAsia="zh-CN"/>
        </w:rPr>
      </w:pPr>
      <w:r>
        <w:rPr>
          <w:rFonts w:hint="eastAsia" w:ascii="仿宋" w:hAnsi="仿宋" w:eastAsia="仿宋" w:cs="仿宋_GB2312"/>
          <w:b/>
          <w:bCs/>
          <w:color w:val="333333"/>
          <w:kern w:val="0"/>
          <w:sz w:val="32"/>
          <w:szCs w:val="32"/>
        </w:rPr>
        <w:t>1.</w:t>
      </w:r>
      <w:r>
        <w:rPr>
          <w:rFonts w:hint="eastAsia" w:ascii="仿宋" w:hAnsi="仿宋" w:eastAsia="仿宋" w:cs="仿宋_GB2312"/>
          <w:b/>
          <w:bCs/>
          <w:color w:val="333333"/>
          <w:kern w:val="0"/>
          <w:sz w:val="32"/>
          <w:szCs w:val="32"/>
          <w:lang w:val="en-US" w:eastAsia="zh-CN"/>
        </w:rPr>
        <w:t>财政拨款收入、支出分析</w:t>
      </w:r>
    </w:p>
    <w:p w14:paraId="63AD330A">
      <w:pPr>
        <w:widowControl/>
        <w:shd w:val="clear" w:color="auto" w:fill="FFFFFF"/>
        <w:spacing w:line="480" w:lineRule="auto"/>
        <w:ind w:firstLine="640" w:firstLineChars="200"/>
        <w:jc w:val="left"/>
        <w:rPr>
          <w:rFonts w:hint="eastAsia" w:ascii="仿宋" w:hAnsi="仿宋" w:eastAsia="仿宋" w:cs="仿宋_GB2312"/>
          <w:color w:val="333333"/>
          <w:kern w:val="0"/>
          <w:sz w:val="32"/>
          <w:szCs w:val="32"/>
          <w:lang w:val="en-US" w:eastAsia="zh-CN"/>
        </w:rPr>
      </w:pPr>
      <w:r>
        <w:rPr>
          <w:rFonts w:hint="eastAsia" w:ascii="仿宋" w:hAnsi="仿宋" w:eastAsia="仿宋" w:cs="仿宋_GB2312"/>
          <w:color w:val="333333"/>
          <w:kern w:val="0"/>
          <w:sz w:val="32"/>
          <w:szCs w:val="32"/>
          <w:lang w:val="en-US" w:eastAsia="zh-CN"/>
        </w:rPr>
        <w:t>2023年度财政拨款收入为266.74万元，财政拨款支出为645.30万元，其中：一般公共预算财政拨款支出290.07万元，一般公共预算财政拨款项目支出355.23万元。</w:t>
      </w:r>
    </w:p>
    <w:p w14:paraId="627B1054">
      <w:pPr>
        <w:widowControl/>
        <w:shd w:val="clear" w:color="auto" w:fill="FFFFFF"/>
        <w:spacing w:line="480" w:lineRule="auto"/>
        <w:ind w:firstLine="643" w:firstLineChars="200"/>
        <w:jc w:val="left"/>
        <w:rPr>
          <w:rFonts w:ascii="仿宋" w:hAnsi="仿宋" w:eastAsia="仿宋" w:cs="仿宋_GB2312"/>
          <w:b/>
          <w:bCs/>
          <w:color w:val="333333"/>
          <w:kern w:val="0"/>
          <w:sz w:val="32"/>
          <w:szCs w:val="32"/>
        </w:rPr>
      </w:pPr>
      <w:r>
        <w:rPr>
          <w:rFonts w:hint="eastAsia" w:ascii="仿宋" w:hAnsi="仿宋" w:eastAsia="仿宋" w:cs="仿宋_GB2312"/>
          <w:b/>
          <w:bCs/>
          <w:color w:val="333333"/>
          <w:kern w:val="0"/>
          <w:sz w:val="32"/>
          <w:szCs w:val="32"/>
        </w:rPr>
        <w:t>2.绩效目标</w:t>
      </w:r>
    </w:p>
    <w:p w14:paraId="6EF3ADFB">
      <w:pPr>
        <w:widowControl/>
        <w:shd w:val="clear" w:color="auto" w:fill="FFFFFF"/>
        <w:spacing w:line="480" w:lineRule="auto"/>
        <w:ind w:firstLine="640" w:firstLineChars="200"/>
        <w:jc w:val="left"/>
        <w:rPr>
          <w:rFonts w:ascii="仿宋" w:hAnsi="仿宋" w:eastAsia="仿宋" w:cs="仿宋_GB2312"/>
          <w:color w:val="333333"/>
          <w:kern w:val="0"/>
          <w:sz w:val="32"/>
          <w:szCs w:val="32"/>
        </w:rPr>
      </w:pPr>
      <w:r>
        <w:rPr>
          <w:rFonts w:hint="eastAsia" w:ascii="仿宋" w:hAnsi="仿宋" w:eastAsia="仿宋" w:cs="仿宋_GB2312"/>
          <w:color w:val="333333"/>
          <w:kern w:val="0"/>
          <w:sz w:val="32"/>
          <w:szCs w:val="32"/>
        </w:rPr>
        <w:t>全民健身赛事活动发展资金绩效目标。目标1、贯彻落实《全民健身条例》《全民健身计划（20</w:t>
      </w:r>
      <w:r>
        <w:rPr>
          <w:rFonts w:hint="eastAsia" w:ascii="仿宋" w:hAnsi="仿宋" w:eastAsia="仿宋" w:cs="仿宋_GB2312"/>
          <w:color w:val="333333"/>
          <w:kern w:val="0"/>
          <w:sz w:val="32"/>
          <w:szCs w:val="32"/>
          <w:lang w:val="en-US" w:eastAsia="zh-CN"/>
        </w:rPr>
        <w:t>21</w:t>
      </w:r>
      <w:r>
        <w:rPr>
          <w:rFonts w:hint="eastAsia" w:ascii="仿宋" w:hAnsi="仿宋" w:eastAsia="仿宋" w:cs="仿宋_GB2312"/>
          <w:color w:val="333333"/>
          <w:kern w:val="0"/>
          <w:sz w:val="32"/>
          <w:szCs w:val="32"/>
        </w:rPr>
        <w:t>-202</w:t>
      </w:r>
      <w:r>
        <w:rPr>
          <w:rFonts w:hint="eastAsia" w:ascii="仿宋" w:hAnsi="仿宋" w:eastAsia="仿宋" w:cs="仿宋_GB2312"/>
          <w:color w:val="333333"/>
          <w:kern w:val="0"/>
          <w:sz w:val="32"/>
          <w:szCs w:val="32"/>
          <w:lang w:val="en-US" w:eastAsia="zh-CN"/>
        </w:rPr>
        <w:t>5</w:t>
      </w:r>
      <w:r>
        <w:rPr>
          <w:rFonts w:hint="eastAsia" w:ascii="仿宋" w:hAnsi="仿宋" w:eastAsia="仿宋" w:cs="仿宋_GB2312"/>
          <w:color w:val="333333"/>
          <w:kern w:val="0"/>
          <w:sz w:val="32"/>
          <w:szCs w:val="32"/>
        </w:rPr>
        <w:t>）》《“健康中国2030”规划纲要》目标2、通过高水平的社会体育指导员普及科学健身知识和健身方法，推动全民健身生活化；组织社会体育指导员广泛开展全民健身指导服务；加强社会体育指导员队伍建设。目标3、推动全民健身活动热潮，带动县域经济发展，助力脱贫攻坚，</w:t>
      </w:r>
      <w:r>
        <w:rPr>
          <w:rFonts w:hint="eastAsia" w:ascii="仿宋" w:hAnsi="仿宋" w:eastAsia="仿宋" w:cs="仿宋_GB2312"/>
          <w:color w:val="333333"/>
          <w:kern w:val="0"/>
          <w:sz w:val="32"/>
          <w:szCs w:val="32"/>
          <w:lang w:val="en-US" w:eastAsia="zh-CN"/>
        </w:rPr>
        <w:t>助力乡村振兴</w:t>
      </w:r>
      <w:r>
        <w:rPr>
          <w:rFonts w:hint="eastAsia" w:ascii="仿宋" w:hAnsi="仿宋" w:eastAsia="仿宋" w:cs="仿宋_GB2312"/>
          <w:color w:val="333333"/>
          <w:kern w:val="0"/>
          <w:sz w:val="32"/>
          <w:szCs w:val="32"/>
        </w:rPr>
        <w:t>，打造群众品牌体育赛事活动，调动广大群众参与全民健身活动的积极性。目标4、开展国民体质监测数据采集工作。目标5、根据《彩票管理条例实施细则》和《彩票公益金管理办法》的要求，为贯彻落实《彩票管理条例》，</w:t>
      </w:r>
      <w:r>
        <w:rPr>
          <w:rFonts w:hint="eastAsia" w:ascii="仿宋" w:hAnsi="仿宋" w:eastAsia="仿宋" w:cs="仿宋_GB2312"/>
          <w:color w:val="333333"/>
          <w:kern w:val="0"/>
          <w:sz w:val="32"/>
          <w:szCs w:val="32"/>
          <w:lang w:eastAsia="zh-CN"/>
        </w:rPr>
        <w:t>按照规定要求，</w:t>
      </w:r>
      <w:r>
        <w:rPr>
          <w:rFonts w:hint="eastAsia" w:ascii="仿宋" w:hAnsi="仿宋" w:eastAsia="仿宋" w:cs="仿宋_GB2312"/>
          <w:color w:val="333333"/>
          <w:kern w:val="0"/>
          <w:sz w:val="32"/>
          <w:szCs w:val="32"/>
        </w:rPr>
        <w:t>体育彩票公益金支出包括群众体育部分,主要用于援建公共体育场地、设施和购置、捐赠体育健身器材</w:t>
      </w:r>
      <w:r>
        <w:rPr>
          <w:rFonts w:hint="eastAsia" w:ascii="仿宋" w:hAnsi="仿宋" w:eastAsia="仿宋" w:cs="仿宋_GB2312"/>
          <w:color w:val="333333"/>
          <w:kern w:val="0"/>
          <w:sz w:val="32"/>
          <w:szCs w:val="32"/>
          <w:lang w:eastAsia="zh-CN"/>
        </w:rPr>
        <w:t>、</w:t>
      </w:r>
      <w:r>
        <w:rPr>
          <w:rFonts w:hint="eastAsia" w:ascii="仿宋" w:hAnsi="仿宋" w:eastAsia="仿宋" w:cs="仿宋_GB2312"/>
          <w:color w:val="333333"/>
          <w:kern w:val="0"/>
          <w:sz w:val="32"/>
          <w:szCs w:val="32"/>
        </w:rPr>
        <w:t>资助群众性体育组织和队伍建设</w:t>
      </w:r>
      <w:r>
        <w:rPr>
          <w:rFonts w:hint="eastAsia" w:ascii="仿宋" w:hAnsi="仿宋" w:eastAsia="仿宋" w:cs="仿宋_GB2312"/>
          <w:color w:val="333333"/>
          <w:kern w:val="0"/>
          <w:sz w:val="32"/>
          <w:szCs w:val="32"/>
          <w:lang w:eastAsia="zh-CN"/>
        </w:rPr>
        <w:t>、</w:t>
      </w:r>
      <w:r>
        <w:rPr>
          <w:rFonts w:hint="eastAsia" w:ascii="仿宋" w:hAnsi="仿宋" w:eastAsia="仿宋" w:cs="仿宋_GB2312"/>
          <w:color w:val="333333"/>
          <w:kern w:val="0"/>
          <w:sz w:val="32"/>
          <w:szCs w:val="32"/>
        </w:rPr>
        <w:t>资助或组织开展全民健身活动</w:t>
      </w:r>
      <w:r>
        <w:rPr>
          <w:rFonts w:hint="eastAsia" w:ascii="仿宋" w:hAnsi="仿宋" w:eastAsia="仿宋" w:cs="仿宋_GB2312"/>
          <w:color w:val="333333"/>
          <w:kern w:val="0"/>
          <w:sz w:val="32"/>
          <w:szCs w:val="32"/>
          <w:lang w:val="en-US" w:eastAsia="zh-CN"/>
        </w:rPr>
        <w:t>等</w:t>
      </w:r>
      <w:r>
        <w:rPr>
          <w:rFonts w:hint="eastAsia" w:ascii="仿宋" w:hAnsi="仿宋" w:eastAsia="仿宋" w:cs="仿宋_GB2312"/>
          <w:color w:val="333333"/>
          <w:kern w:val="0"/>
          <w:sz w:val="32"/>
          <w:szCs w:val="32"/>
          <w:lang w:eastAsia="zh-CN"/>
        </w:rPr>
        <w:t>。</w:t>
      </w:r>
      <w:r>
        <w:rPr>
          <w:rFonts w:hint="eastAsia" w:ascii="仿宋" w:hAnsi="仿宋" w:eastAsia="仿宋" w:cs="仿宋_GB2312"/>
          <w:color w:val="333333"/>
          <w:kern w:val="0"/>
          <w:sz w:val="32"/>
          <w:szCs w:val="32"/>
        </w:rPr>
        <w:t>目标6、目标7、提升改造体育场馆设施。</w:t>
      </w:r>
    </w:p>
    <w:p w14:paraId="76454053">
      <w:pPr>
        <w:pStyle w:val="7"/>
        <w:widowControl/>
        <w:numPr>
          <w:ilvl w:val="0"/>
          <w:numId w:val="2"/>
        </w:numPr>
        <w:shd w:val="clear" w:color="auto" w:fill="FFFFFF"/>
        <w:spacing w:line="480" w:lineRule="auto"/>
        <w:ind w:firstLineChars="0"/>
        <w:jc w:val="left"/>
        <w:rPr>
          <w:rFonts w:ascii="仿宋" w:hAnsi="仿宋" w:eastAsia="仿宋" w:cs="黑体"/>
          <w:b/>
          <w:color w:val="333333"/>
          <w:kern w:val="0"/>
          <w:sz w:val="32"/>
          <w:szCs w:val="32"/>
        </w:rPr>
      </w:pPr>
      <w:r>
        <w:rPr>
          <w:rFonts w:hint="eastAsia" w:ascii="仿宋" w:hAnsi="仿宋" w:eastAsia="仿宋" w:cs="黑体"/>
          <w:b/>
          <w:color w:val="333333"/>
          <w:kern w:val="0"/>
          <w:sz w:val="32"/>
          <w:szCs w:val="32"/>
        </w:rPr>
        <w:t>绩效评价工作的开展及</w:t>
      </w:r>
      <w:r>
        <w:rPr>
          <w:rFonts w:hint="eastAsia" w:ascii="仿宋" w:hAnsi="仿宋" w:eastAsia="仿宋" w:cs="黑体"/>
          <w:b/>
          <w:color w:val="333333"/>
          <w:kern w:val="0"/>
          <w:sz w:val="32"/>
          <w:szCs w:val="32"/>
          <w:lang w:val="en-US" w:eastAsia="zh-CN"/>
        </w:rPr>
        <w:t>评价结果</w:t>
      </w:r>
    </w:p>
    <w:p w14:paraId="758B9E34">
      <w:pPr>
        <w:widowControl/>
        <w:shd w:val="clear" w:color="auto" w:fill="FFFFFF"/>
        <w:spacing w:line="480" w:lineRule="auto"/>
        <w:ind w:firstLine="643" w:firstLineChars="200"/>
        <w:jc w:val="left"/>
        <w:rPr>
          <w:rFonts w:ascii="仿宋" w:hAnsi="仿宋" w:eastAsia="仿宋" w:cs="仿宋_GB2312"/>
          <w:b/>
          <w:bCs/>
          <w:color w:val="333333"/>
          <w:kern w:val="0"/>
          <w:sz w:val="32"/>
          <w:szCs w:val="32"/>
        </w:rPr>
      </w:pPr>
      <w:r>
        <w:rPr>
          <w:rFonts w:hint="eastAsia" w:ascii="仿宋" w:hAnsi="仿宋" w:eastAsia="仿宋" w:cs="仿宋_GB2312"/>
          <w:b/>
          <w:bCs/>
          <w:color w:val="333333"/>
          <w:kern w:val="0"/>
          <w:sz w:val="32"/>
          <w:szCs w:val="32"/>
        </w:rPr>
        <w:t>（一）资金投入情况分析。</w:t>
      </w:r>
    </w:p>
    <w:p w14:paraId="49C1A82F">
      <w:pPr>
        <w:widowControl/>
        <w:shd w:val="clear" w:color="auto" w:fill="FFFFFF"/>
        <w:spacing w:line="480" w:lineRule="auto"/>
        <w:ind w:firstLine="643" w:firstLineChars="200"/>
        <w:jc w:val="left"/>
        <w:rPr>
          <w:rFonts w:ascii="仿宋" w:hAnsi="仿宋" w:eastAsia="仿宋" w:cs="仿宋_GB2312"/>
          <w:b/>
          <w:bCs/>
          <w:color w:val="333333"/>
          <w:kern w:val="0"/>
          <w:sz w:val="32"/>
          <w:szCs w:val="32"/>
        </w:rPr>
      </w:pPr>
      <w:r>
        <w:rPr>
          <w:rFonts w:hint="eastAsia" w:ascii="仿宋" w:hAnsi="仿宋" w:eastAsia="仿宋" w:cs="仿宋_GB2312"/>
          <w:b/>
          <w:bCs/>
          <w:color w:val="333333"/>
          <w:kern w:val="0"/>
          <w:sz w:val="32"/>
          <w:szCs w:val="32"/>
        </w:rPr>
        <w:t>1、资金到位情况</w:t>
      </w:r>
    </w:p>
    <w:p w14:paraId="0658EE5D">
      <w:pPr>
        <w:widowControl/>
        <w:shd w:val="clear" w:color="auto" w:fill="FFFFFF"/>
        <w:spacing w:line="480" w:lineRule="auto"/>
        <w:ind w:firstLine="640" w:firstLineChars="200"/>
        <w:jc w:val="left"/>
        <w:rPr>
          <w:rFonts w:ascii="仿宋" w:hAnsi="仿宋" w:eastAsia="仿宋" w:cs="仿宋_GB2312"/>
          <w:color w:val="333333"/>
          <w:kern w:val="0"/>
          <w:sz w:val="32"/>
          <w:szCs w:val="32"/>
        </w:rPr>
      </w:pPr>
      <w:r>
        <w:rPr>
          <w:rFonts w:hint="eastAsia" w:ascii="仿宋" w:hAnsi="仿宋" w:eastAsia="仿宋" w:cs="仿宋_GB2312"/>
          <w:color w:val="333333"/>
          <w:kern w:val="0"/>
          <w:sz w:val="32"/>
          <w:szCs w:val="32"/>
          <w:lang w:val="en-US" w:eastAsia="zh-CN"/>
        </w:rPr>
        <w:t>财政预算资金</w:t>
      </w:r>
      <w:r>
        <w:rPr>
          <w:rFonts w:hint="eastAsia" w:ascii="仿宋" w:hAnsi="仿宋" w:eastAsia="仿宋" w:cs="仿宋_GB2312"/>
          <w:color w:val="333333"/>
          <w:kern w:val="0"/>
          <w:sz w:val="32"/>
          <w:szCs w:val="32"/>
        </w:rPr>
        <w:t>全部下达单位，</w:t>
      </w:r>
      <w:r>
        <w:rPr>
          <w:rFonts w:hint="eastAsia" w:ascii="仿宋" w:hAnsi="仿宋" w:eastAsia="仿宋" w:cs="仿宋_GB2312"/>
          <w:color w:val="333333"/>
          <w:kern w:val="0"/>
          <w:sz w:val="32"/>
          <w:szCs w:val="32"/>
          <w:lang w:val="en-US" w:eastAsia="zh-CN"/>
        </w:rPr>
        <w:t>业务办理按时完成</w:t>
      </w:r>
      <w:r>
        <w:rPr>
          <w:rFonts w:hint="eastAsia" w:ascii="仿宋" w:hAnsi="仿宋" w:eastAsia="仿宋" w:cs="仿宋_GB2312"/>
          <w:color w:val="333333"/>
          <w:kern w:val="0"/>
          <w:sz w:val="32"/>
          <w:szCs w:val="32"/>
        </w:rPr>
        <w:t>。在资金管理上强化责任意识，建立健全管理制度，落实配套资金，定期调度资金拨付情况，提高预算执行效率和资金使用效益，确保财政资金使用安全。</w:t>
      </w:r>
    </w:p>
    <w:p w14:paraId="2675CACD">
      <w:pPr>
        <w:widowControl/>
        <w:shd w:val="clear" w:color="auto" w:fill="FFFFFF"/>
        <w:spacing w:line="480" w:lineRule="auto"/>
        <w:ind w:firstLine="643" w:firstLineChars="200"/>
        <w:jc w:val="left"/>
        <w:rPr>
          <w:rFonts w:hint="eastAsia" w:ascii="仿宋" w:hAnsi="仿宋" w:eastAsia="仿宋" w:cs="仿宋_GB2312"/>
          <w:b/>
          <w:bCs/>
          <w:color w:val="333333"/>
          <w:kern w:val="0"/>
          <w:sz w:val="32"/>
          <w:szCs w:val="32"/>
          <w:lang w:eastAsia="zh-CN"/>
        </w:rPr>
      </w:pPr>
      <w:r>
        <w:rPr>
          <w:rFonts w:hint="eastAsia" w:ascii="仿宋" w:hAnsi="仿宋" w:eastAsia="仿宋" w:cs="仿宋_GB2312"/>
          <w:b/>
          <w:bCs/>
          <w:color w:val="333333"/>
          <w:kern w:val="0"/>
          <w:sz w:val="32"/>
          <w:szCs w:val="32"/>
          <w:lang w:val="en-US" w:eastAsia="zh-CN"/>
        </w:rPr>
        <w:t>2、</w:t>
      </w:r>
      <w:r>
        <w:rPr>
          <w:rFonts w:hint="eastAsia" w:ascii="仿宋" w:hAnsi="仿宋" w:eastAsia="仿宋" w:cs="仿宋_GB2312"/>
          <w:b/>
          <w:bCs/>
          <w:color w:val="333333"/>
          <w:kern w:val="0"/>
          <w:sz w:val="32"/>
          <w:szCs w:val="32"/>
        </w:rPr>
        <w:t>绩效目标完成情况</w:t>
      </w:r>
      <w:r>
        <w:rPr>
          <w:rFonts w:hint="eastAsia" w:ascii="仿宋" w:hAnsi="仿宋" w:eastAsia="仿宋" w:cs="仿宋_GB2312"/>
          <w:b/>
          <w:bCs/>
          <w:color w:val="333333"/>
          <w:kern w:val="0"/>
          <w:sz w:val="32"/>
          <w:szCs w:val="32"/>
          <w:lang w:eastAsia="zh-CN"/>
        </w:rPr>
        <w:t>（</w:t>
      </w:r>
      <w:r>
        <w:rPr>
          <w:rFonts w:hint="eastAsia" w:ascii="仿宋" w:hAnsi="仿宋" w:eastAsia="仿宋" w:cs="仿宋_GB2312"/>
          <w:b/>
          <w:bCs/>
          <w:color w:val="333333"/>
          <w:kern w:val="0"/>
          <w:sz w:val="32"/>
          <w:szCs w:val="32"/>
          <w:lang w:val="en-US" w:eastAsia="zh-CN"/>
        </w:rPr>
        <w:t>见附件</w:t>
      </w:r>
      <w:r>
        <w:rPr>
          <w:rFonts w:hint="eastAsia" w:ascii="仿宋" w:hAnsi="仿宋" w:eastAsia="仿宋" w:cs="仿宋_GB2312"/>
          <w:b/>
          <w:bCs/>
          <w:color w:val="333333"/>
          <w:kern w:val="0"/>
          <w:sz w:val="32"/>
          <w:szCs w:val="32"/>
          <w:lang w:eastAsia="zh-CN"/>
        </w:rPr>
        <w:t>）</w:t>
      </w:r>
    </w:p>
    <w:p w14:paraId="398F824C">
      <w:pPr>
        <w:widowControl/>
        <w:numPr>
          <w:ilvl w:val="0"/>
          <w:numId w:val="1"/>
        </w:numPr>
        <w:shd w:val="clear" w:color="auto" w:fill="FFFFFF"/>
        <w:spacing w:line="480" w:lineRule="auto"/>
        <w:ind w:left="0" w:leftChars="0" w:firstLine="643" w:firstLineChars="200"/>
        <w:jc w:val="left"/>
        <w:rPr>
          <w:rFonts w:hint="eastAsia" w:ascii="仿宋" w:hAnsi="仿宋" w:eastAsia="仿宋" w:cs="黑体"/>
          <w:b/>
          <w:color w:val="333333"/>
          <w:kern w:val="0"/>
          <w:sz w:val="32"/>
          <w:szCs w:val="32"/>
          <w:lang w:val="en-US" w:eastAsia="zh-CN"/>
        </w:rPr>
      </w:pPr>
      <w:r>
        <w:rPr>
          <w:rFonts w:hint="eastAsia" w:ascii="仿宋" w:hAnsi="仿宋" w:eastAsia="仿宋" w:cs="黑体"/>
          <w:b/>
          <w:color w:val="333333"/>
          <w:kern w:val="0"/>
          <w:sz w:val="32"/>
          <w:szCs w:val="32"/>
          <w:lang w:val="en-US" w:eastAsia="zh-CN"/>
        </w:rPr>
        <w:t>整体支出绩效评价结果</w:t>
      </w:r>
    </w:p>
    <w:p w14:paraId="00069B73">
      <w:pPr>
        <w:pStyle w:val="2"/>
        <w:numPr>
          <w:ilvl w:val="0"/>
          <w:numId w:val="0"/>
        </w:numPr>
        <w:ind w:leftChars="200" w:firstLine="420"/>
        <w:rPr>
          <w:rFonts w:hint="eastAsia" w:ascii="仿宋" w:hAnsi="仿宋" w:eastAsia="仿宋" w:cs="仿宋_GB2312"/>
          <w:color w:val="333333"/>
          <w:kern w:val="0"/>
          <w:sz w:val="32"/>
          <w:szCs w:val="32"/>
          <w:lang w:val="en-US" w:eastAsia="zh-CN" w:bidi="ar-SA"/>
        </w:rPr>
      </w:pPr>
      <w:r>
        <w:rPr>
          <w:rFonts w:hint="eastAsia" w:ascii="仿宋" w:hAnsi="仿宋" w:eastAsia="仿宋" w:cs="仿宋_GB2312"/>
          <w:color w:val="333333"/>
          <w:kern w:val="0"/>
          <w:sz w:val="32"/>
          <w:szCs w:val="32"/>
          <w:lang w:val="en-US" w:eastAsia="zh-CN" w:bidi="ar-SA"/>
        </w:rPr>
        <w:t>根据绩效评价情况，结合单位自评结果，综合评定后，华池县业余体校2023年度部门资金整体支出绩效评价得分98分，评价等级为“优”，（具体评分情况详见2023年单位整体支出绩效自评</w:t>
      </w:r>
      <w:bookmarkStart w:id="0" w:name="_GoBack"/>
      <w:bookmarkEnd w:id="0"/>
      <w:r>
        <w:rPr>
          <w:rFonts w:hint="eastAsia" w:ascii="仿宋" w:hAnsi="仿宋" w:eastAsia="仿宋" w:cs="仿宋_GB2312"/>
          <w:color w:val="333333"/>
          <w:kern w:val="0"/>
          <w:sz w:val="32"/>
          <w:szCs w:val="32"/>
          <w:lang w:val="en-US" w:eastAsia="zh-CN" w:bidi="ar-SA"/>
        </w:rPr>
        <w:t>表）。</w:t>
      </w:r>
    </w:p>
    <w:p w14:paraId="592A2471">
      <w:pPr>
        <w:widowControl/>
        <w:numPr>
          <w:ilvl w:val="0"/>
          <w:numId w:val="0"/>
        </w:numPr>
        <w:shd w:val="clear" w:color="auto" w:fill="FFFFFF"/>
        <w:spacing w:line="480" w:lineRule="auto"/>
        <w:ind w:leftChars="200"/>
        <w:jc w:val="left"/>
        <w:rPr>
          <w:rFonts w:hint="eastAsia" w:ascii="仿宋" w:hAnsi="仿宋" w:eastAsia="仿宋" w:cs="黑体"/>
          <w:b/>
          <w:color w:val="333333"/>
          <w:kern w:val="0"/>
          <w:sz w:val="32"/>
          <w:szCs w:val="32"/>
          <w:lang w:val="en-US" w:eastAsia="zh-CN"/>
        </w:rPr>
      </w:pPr>
      <w:r>
        <w:rPr>
          <w:rFonts w:hint="eastAsia" w:ascii="仿宋" w:hAnsi="仿宋" w:eastAsia="仿宋" w:cs="黑体"/>
          <w:b/>
          <w:color w:val="333333"/>
          <w:kern w:val="0"/>
          <w:sz w:val="32"/>
          <w:szCs w:val="32"/>
          <w:lang w:val="en-US" w:eastAsia="zh-CN"/>
        </w:rPr>
        <w:t>4、整体支出绩效评价计分情况</w:t>
      </w:r>
    </w:p>
    <w:p w14:paraId="55AB6F30">
      <w:pPr>
        <w:widowControl/>
        <w:shd w:val="clear" w:color="auto" w:fill="FFFFFF"/>
        <w:spacing w:line="480" w:lineRule="auto"/>
        <w:ind w:firstLine="640" w:firstLineChars="200"/>
        <w:jc w:val="left"/>
        <w:rPr>
          <w:rFonts w:hint="default" w:ascii="仿宋" w:hAnsi="仿宋" w:eastAsia="仿宋" w:cs="仿宋_GB2312"/>
          <w:color w:val="333333"/>
          <w:kern w:val="0"/>
          <w:sz w:val="32"/>
          <w:szCs w:val="32"/>
          <w:lang w:val="en-US" w:eastAsia="zh-CN"/>
        </w:rPr>
      </w:pPr>
      <w:r>
        <w:rPr>
          <w:rFonts w:hint="default" w:ascii="仿宋" w:hAnsi="仿宋" w:eastAsia="仿宋" w:cs="仿宋_GB2312"/>
          <w:color w:val="333333"/>
          <w:kern w:val="0"/>
          <w:sz w:val="32"/>
          <w:szCs w:val="32"/>
          <w:lang w:val="en-US" w:eastAsia="zh-CN"/>
        </w:rPr>
        <w:t>整体支出规模</w:t>
      </w:r>
      <w:r>
        <w:rPr>
          <w:rFonts w:hint="eastAsia" w:ascii="仿宋" w:hAnsi="仿宋" w:eastAsia="仿宋" w:cs="仿宋_GB2312"/>
          <w:color w:val="333333"/>
          <w:kern w:val="0"/>
          <w:sz w:val="32"/>
          <w:szCs w:val="32"/>
          <w:lang w:val="en-US" w:eastAsia="zh-CN"/>
        </w:rPr>
        <w:t>计分10分，实际得分10分；</w:t>
      </w:r>
      <w:r>
        <w:rPr>
          <w:rFonts w:hint="default" w:ascii="仿宋" w:hAnsi="仿宋" w:eastAsia="仿宋" w:cs="仿宋_GB2312"/>
          <w:color w:val="333333"/>
          <w:kern w:val="0"/>
          <w:sz w:val="32"/>
          <w:szCs w:val="32"/>
          <w:lang w:val="en-US" w:eastAsia="zh-CN"/>
        </w:rPr>
        <w:t>管理指标</w:t>
      </w:r>
      <w:r>
        <w:rPr>
          <w:rFonts w:hint="eastAsia" w:ascii="仿宋" w:hAnsi="仿宋" w:eastAsia="仿宋" w:cs="仿宋_GB2312"/>
          <w:color w:val="333333"/>
          <w:kern w:val="0"/>
          <w:sz w:val="32"/>
          <w:szCs w:val="32"/>
          <w:lang w:val="en-US" w:eastAsia="zh-CN"/>
        </w:rPr>
        <w:t>计50分，实际得分49分；履职效果指标计20分，实际得分20分；能力建设指标计20分，实际得分19分，最后实际共得分98分。</w:t>
      </w:r>
    </w:p>
    <w:p w14:paraId="5503D7E2">
      <w:pPr>
        <w:widowControl/>
        <w:shd w:val="clear" w:color="auto" w:fill="FFFFFF"/>
        <w:spacing w:line="480" w:lineRule="auto"/>
        <w:ind w:firstLine="643" w:firstLineChars="200"/>
        <w:jc w:val="left"/>
        <w:rPr>
          <w:rFonts w:ascii="仿宋" w:hAnsi="仿宋" w:eastAsia="仿宋" w:cs="黑体"/>
          <w:b/>
          <w:color w:val="333333"/>
          <w:kern w:val="0"/>
          <w:sz w:val="32"/>
          <w:szCs w:val="32"/>
        </w:rPr>
      </w:pPr>
      <w:r>
        <w:rPr>
          <w:rFonts w:hint="eastAsia" w:ascii="仿宋" w:hAnsi="仿宋" w:eastAsia="仿宋" w:cs="黑体"/>
          <w:b/>
          <w:color w:val="333333"/>
          <w:kern w:val="0"/>
          <w:sz w:val="32"/>
          <w:szCs w:val="32"/>
        </w:rPr>
        <w:t>四、下一步工作打算</w:t>
      </w:r>
    </w:p>
    <w:p w14:paraId="61A4A602">
      <w:pPr>
        <w:widowControl/>
        <w:shd w:val="clear" w:color="auto" w:fill="FFFFFF"/>
        <w:spacing w:line="480" w:lineRule="auto"/>
        <w:ind w:firstLine="640" w:firstLineChars="200"/>
        <w:jc w:val="left"/>
        <w:rPr>
          <w:rFonts w:ascii="仿宋" w:hAnsi="仿宋" w:eastAsia="仿宋" w:cs="仿宋_GB2312"/>
          <w:color w:val="333333"/>
          <w:kern w:val="0"/>
          <w:sz w:val="32"/>
          <w:szCs w:val="32"/>
        </w:rPr>
      </w:pPr>
      <w:r>
        <w:rPr>
          <w:rFonts w:hint="eastAsia" w:ascii="仿宋" w:hAnsi="仿宋" w:eastAsia="仿宋" w:cs="仿宋_GB2312"/>
          <w:color w:val="333333"/>
          <w:kern w:val="0"/>
          <w:sz w:val="32"/>
          <w:szCs w:val="32"/>
        </w:rPr>
        <w:t>下一步，我校将继续强化资金项目管理，促进我单位加大项目推进力度，定期进行检查，确保项目早日完工、资金执行到位。同时，对项目进行监督检查和绩效考核，并强化考核结果应用，。</w:t>
      </w:r>
    </w:p>
    <w:p w14:paraId="77996102">
      <w:pPr>
        <w:widowControl/>
        <w:shd w:val="clear" w:color="auto" w:fill="FFFFFF"/>
        <w:spacing w:line="480" w:lineRule="auto"/>
        <w:ind w:firstLine="643" w:firstLineChars="200"/>
        <w:jc w:val="left"/>
        <w:rPr>
          <w:rFonts w:ascii="仿宋" w:hAnsi="仿宋" w:eastAsia="仿宋" w:cs="仿宋_GB2312"/>
          <w:b/>
          <w:color w:val="333333"/>
          <w:kern w:val="0"/>
          <w:sz w:val="32"/>
          <w:szCs w:val="32"/>
        </w:rPr>
      </w:pPr>
      <w:r>
        <w:rPr>
          <w:rFonts w:hint="eastAsia" w:ascii="仿宋" w:hAnsi="仿宋" w:eastAsia="仿宋" w:cs="黑体"/>
          <w:b/>
          <w:color w:val="333333"/>
          <w:kern w:val="0"/>
          <w:sz w:val="32"/>
          <w:szCs w:val="32"/>
        </w:rPr>
        <w:t>五、绩效评价结果拟应用和公开情况</w:t>
      </w:r>
    </w:p>
    <w:p w14:paraId="3955AA6D">
      <w:pPr>
        <w:widowControl/>
        <w:spacing w:line="620" w:lineRule="exact"/>
        <w:ind w:firstLine="640" w:firstLineChars="200"/>
        <w:rPr>
          <w:rFonts w:ascii="仿宋" w:hAnsi="仿宋" w:eastAsia="仿宋"/>
          <w:bCs/>
          <w:color w:val="000000"/>
          <w:kern w:val="0"/>
          <w:sz w:val="32"/>
          <w:szCs w:val="32"/>
        </w:rPr>
      </w:pPr>
      <w:r>
        <w:rPr>
          <w:rFonts w:hint="eastAsia" w:ascii="仿宋" w:hAnsi="仿宋" w:eastAsia="仿宋"/>
          <w:bCs/>
          <w:color w:val="000000"/>
          <w:kern w:val="0"/>
          <w:sz w:val="32"/>
          <w:szCs w:val="32"/>
        </w:rPr>
        <w:t>通过自评，该资金的实施支付达到项目绩效目标预期，按照年度资金预算，项目建设资金支付按照合同协议进度按期支付，根据项目绩效目标分值设定，评价目标达到较好。</w:t>
      </w:r>
      <w:r>
        <w:rPr>
          <w:rFonts w:hint="eastAsia" w:ascii="仿宋" w:hAnsi="仿宋" w:eastAsia="仿宋" w:cs="仿宋_GB2312"/>
          <w:color w:val="333333"/>
          <w:kern w:val="0"/>
          <w:sz w:val="32"/>
          <w:szCs w:val="32"/>
        </w:rPr>
        <w:t>高度重视绩效评价结果的应用工作，积极探索和建立一套与预算管理相结合、多渠道应用评价结果的有效机制，着力提高绩效意识和财政资金使用效益。同时，将省体育彩票公益金对市县留成资金支付绩效目标自评报告进行公开，广泛接受社会监督。</w:t>
      </w:r>
    </w:p>
    <w:p w14:paraId="322C08C7">
      <w:pPr>
        <w:widowControl/>
        <w:spacing w:line="620" w:lineRule="exact"/>
        <w:ind w:firstLine="640" w:firstLineChars="200"/>
        <w:rPr>
          <w:rFonts w:ascii="仿宋" w:hAnsi="仿宋" w:eastAsia="仿宋"/>
          <w:bCs/>
          <w:color w:val="000000"/>
          <w:kern w:val="0"/>
          <w:sz w:val="32"/>
          <w:szCs w:val="32"/>
        </w:rPr>
      </w:pPr>
      <w:r>
        <w:rPr>
          <w:rFonts w:hint="eastAsia" w:ascii="仿宋" w:hAnsi="仿宋" w:eastAsia="仿宋"/>
          <w:bCs/>
          <w:color w:val="000000"/>
          <w:kern w:val="0"/>
          <w:sz w:val="32"/>
          <w:szCs w:val="32"/>
        </w:rPr>
        <w:t xml:space="preserve">                    </w:t>
      </w:r>
    </w:p>
    <w:p w14:paraId="44B9CE31">
      <w:pPr>
        <w:widowControl/>
        <w:spacing w:line="620" w:lineRule="exact"/>
        <w:ind w:firstLine="640" w:firstLineChars="200"/>
        <w:rPr>
          <w:rFonts w:ascii="仿宋" w:hAnsi="仿宋" w:eastAsia="仿宋"/>
          <w:bCs/>
          <w:color w:val="000000"/>
          <w:kern w:val="0"/>
          <w:sz w:val="32"/>
          <w:szCs w:val="32"/>
        </w:rPr>
      </w:pPr>
    </w:p>
    <w:p w14:paraId="28E82273">
      <w:pPr>
        <w:widowControl/>
        <w:spacing w:line="620" w:lineRule="exact"/>
        <w:ind w:firstLine="4480" w:firstLineChars="1400"/>
        <w:rPr>
          <w:rFonts w:ascii="仿宋" w:hAnsi="仿宋" w:eastAsia="仿宋"/>
          <w:bCs/>
          <w:color w:val="000000"/>
          <w:kern w:val="0"/>
          <w:sz w:val="32"/>
          <w:szCs w:val="32"/>
        </w:rPr>
      </w:pPr>
      <w:r>
        <w:rPr>
          <w:rFonts w:hint="eastAsia" w:ascii="仿宋" w:hAnsi="仿宋" w:eastAsia="仿宋"/>
          <w:bCs/>
          <w:color w:val="000000"/>
          <w:kern w:val="0"/>
          <w:sz w:val="32"/>
          <w:szCs w:val="32"/>
          <w:lang w:val="en-US" w:eastAsia="zh-CN"/>
        </w:rPr>
        <w:t xml:space="preserve">    </w:t>
      </w:r>
      <w:r>
        <w:rPr>
          <w:rFonts w:hint="eastAsia" w:ascii="仿宋" w:hAnsi="仿宋" w:eastAsia="仿宋"/>
          <w:bCs/>
          <w:color w:val="000000"/>
          <w:kern w:val="0"/>
          <w:sz w:val="32"/>
          <w:szCs w:val="32"/>
        </w:rPr>
        <w:t>华池县业余体校</w:t>
      </w:r>
    </w:p>
    <w:p w14:paraId="5DBE9F7B">
      <w:pPr>
        <w:widowControl/>
        <w:spacing w:line="620" w:lineRule="exact"/>
        <w:ind w:firstLine="640" w:firstLineChars="200"/>
        <w:rPr>
          <w:rFonts w:ascii="仿宋" w:hAnsi="仿宋" w:eastAsia="仿宋"/>
          <w:bCs/>
          <w:color w:val="000000"/>
          <w:kern w:val="0"/>
          <w:sz w:val="32"/>
          <w:szCs w:val="32"/>
        </w:rPr>
      </w:pPr>
      <w:r>
        <w:rPr>
          <w:rFonts w:hint="eastAsia" w:ascii="仿宋" w:hAnsi="仿宋" w:eastAsia="仿宋"/>
          <w:bCs/>
          <w:color w:val="000000"/>
          <w:kern w:val="0"/>
          <w:sz w:val="32"/>
          <w:szCs w:val="32"/>
        </w:rPr>
        <w:t xml:space="preserve">                           202</w:t>
      </w:r>
      <w:r>
        <w:rPr>
          <w:rFonts w:hint="eastAsia" w:ascii="仿宋" w:hAnsi="仿宋" w:eastAsia="仿宋"/>
          <w:bCs/>
          <w:color w:val="000000"/>
          <w:kern w:val="0"/>
          <w:sz w:val="32"/>
          <w:szCs w:val="32"/>
          <w:lang w:val="en-US" w:eastAsia="zh-CN"/>
        </w:rPr>
        <w:t>4</w:t>
      </w:r>
      <w:r>
        <w:rPr>
          <w:rFonts w:hint="eastAsia" w:ascii="仿宋" w:hAnsi="仿宋" w:eastAsia="仿宋"/>
          <w:bCs/>
          <w:color w:val="000000"/>
          <w:kern w:val="0"/>
          <w:sz w:val="32"/>
          <w:szCs w:val="32"/>
        </w:rPr>
        <w:t>年</w:t>
      </w:r>
      <w:r>
        <w:rPr>
          <w:rFonts w:hint="eastAsia" w:ascii="仿宋" w:hAnsi="仿宋" w:eastAsia="仿宋"/>
          <w:bCs/>
          <w:color w:val="000000"/>
          <w:kern w:val="0"/>
          <w:sz w:val="32"/>
          <w:szCs w:val="32"/>
          <w:lang w:val="en-US" w:eastAsia="zh-CN"/>
        </w:rPr>
        <w:t>5</w:t>
      </w:r>
      <w:r>
        <w:rPr>
          <w:rFonts w:hint="eastAsia" w:ascii="仿宋" w:hAnsi="仿宋" w:eastAsia="仿宋"/>
          <w:bCs/>
          <w:color w:val="000000"/>
          <w:kern w:val="0"/>
          <w:sz w:val="32"/>
          <w:szCs w:val="32"/>
        </w:rPr>
        <w:t>月</w:t>
      </w:r>
      <w:r>
        <w:rPr>
          <w:rFonts w:hint="eastAsia" w:ascii="仿宋" w:hAnsi="仿宋" w:eastAsia="仿宋"/>
          <w:bCs/>
          <w:color w:val="000000"/>
          <w:kern w:val="0"/>
          <w:sz w:val="32"/>
          <w:szCs w:val="32"/>
          <w:lang w:val="en-US" w:eastAsia="zh-CN"/>
        </w:rPr>
        <w:t>13</w:t>
      </w:r>
      <w:r>
        <w:rPr>
          <w:rFonts w:hint="eastAsia" w:ascii="仿宋" w:hAnsi="仿宋" w:eastAsia="仿宋"/>
          <w:bCs/>
          <w:color w:val="000000"/>
          <w:kern w:val="0"/>
          <w:sz w:val="32"/>
          <w:szCs w:val="32"/>
        </w:rPr>
        <w:t>日</w:t>
      </w:r>
    </w:p>
    <w:p w14:paraId="344EC133">
      <w:pPr>
        <w:ind w:firstLine="640" w:firstLineChars="200"/>
        <w:rPr>
          <w:rFonts w:ascii="仿宋" w:hAnsi="仿宋" w:eastAsia="仿宋"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2F57D1"/>
    <w:multiLevelType w:val="multilevel"/>
    <w:tmpl w:val="3E2F57D1"/>
    <w:lvl w:ilvl="0" w:tentative="0">
      <w:start w:val="3"/>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0534E49"/>
    <w:multiLevelType w:val="singleLevel"/>
    <w:tmpl w:val="70534E4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YTYwNTE5MmJlZGNmZjk2ZDYyNDg4M2U5OGU1NjMifQ=="/>
  </w:docVars>
  <w:rsids>
    <w:rsidRoot w:val="000E2C46"/>
    <w:rsid w:val="0000700E"/>
    <w:rsid w:val="000547A1"/>
    <w:rsid w:val="0007737A"/>
    <w:rsid w:val="000D34C4"/>
    <w:rsid w:val="000D6C1C"/>
    <w:rsid w:val="000E2C46"/>
    <w:rsid w:val="000E4D8A"/>
    <w:rsid w:val="0012750B"/>
    <w:rsid w:val="00145138"/>
    <w:rsid w:val="00150C57"/>
    <w:rsid w:val="00155AF9"/>
    <w:rsid w:val="00173B4F"/>
    <w:rsid w:val="00204257"/>
    <w:rsid w:val="00206058"/>
    <w:rsid w:val="00222811"/>
    <w:rsid w:val="003B6DC0"/>
    <w:rsid w:val="0048717E"/>
    <w:rsid w:val="00495C13"/>
    <w:rsid w:val="004E6AE8"/>
    <w:rsid w:val="00522E75"/>
    <w:rsid w:val="00536AAF"/>
    <w:rsid w:val="00550A95"/>
    <w:rsid w:val="00592050"/>
    <w:rsid w:val="005F4343"/>
    <w:rsid w:val="00611952"/>
    <w:rsid w:val="0064618F"/>
    <w:rsid w:val="00650A1D"/>
    <w:rsid w:val="006C2A8E"/>
    <w:rsid w:val="0071336F"/>
    <w:rsid w:val="00725FFA"/>
    <w:rsid w:val="007333D2"/>
    <w:rsid w:val="00752A35"/>
    <w:rsid w:val="007A0EE3"/>
    <w:rsid w:val="007B0BD5"/>
    <w:rsid w:val="007B4AEE"/>
    <w:rsid w:val="007F5DAE"/>
    <w:rsid w:val="008003C2"/>
    <w:rsid w:val="008934F3"/>
    <w:rsid w:val="008C1CF0"/>
    <w:rsid w:val="008C7EBC"/>
    <w:rsid w:val="008D1041"/>
    <w:rsid w:val="00993787"/>
    <w:rsid w:val="009A23BE"/>
    <w:rsid w:val="009D5596"/>
    <w:rsid w:val="00A063D7"/>
    <w:rsid w:val="00A07862"/>
    <w:rsid w:val="00A11373"/>
    <w:rsid w:val="00A26384"/>
    <w:rsid w:val="00A31CF0"/>
    <w:rsid w:val="00AA618C"/>
    <w:rsid w:val="00AD7C40"/>
    <w:rsid w:val="00B02DC0"/>
    <w:rsid w:val="00BE6A8B"/>
    <w:rsid w:val="00C44024"/>
    <w:rsid w:val="00CA212C"/>
    <w:rsid w:val="00CE7D76"/>
    <w:rsid w:val="00D1481A"/>
    <w:rsid w:val="00D51C52"/>
    <w:rsid w:val="00DD737F"/>
    <w:rsid w:val="00E307A4"/>
    <w:rsid w:val="00E475A6"/>
    <w:rsid w:val="00E8326A"/>
    <w:rsid w:val="00EF0DA1"/>
    <w:rsid w:val="01A746E2"/>
    <w:rsid w:val="096450B7"/>
    <w:rsid w:val="0D534D5B"/>
    <w:rsid w:val="0E3171E1"/>
    <w:rsid w:val="127E0B77"/>
    <w:rsid w:val="12CE1F6A"/>
    <w:rsid w:val="187F6AE3"/>
    <w:rsid w:val="1A7A6BD7"/>
    <w:rsid w:val="1FC67C44"/>
    <w:rsid w:val="22973BD0"/>
    <w:rsid w:val="23FB4FF0"/>
    <w:rsid w:val="2C663867"/>
    <w:rsid w:val="32942431"/>
    <w:rsid w:val="37792347"/>
    <w:rsid w:val="4140325D"/>
    <w:rsid w:val="4F027E1C"/>
    <w:rsid w:val="5FA34D03"/>
    <w:rsid w:val="615C1C03"/>
    <w:rsid w:val="69A011D2"/>
    <w:rsid w:val="705A651E"/>
    <w:rsid w:val="73852C46"/>
    <w:rsid w:val="761A53C5"/>
    <w:rsid w:val="7A8B409F"/>
    <w:rsid w:val="7AE01C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Indent 2"/>
    <w:basedOn w:val="1"/>
    <w:next w:val="1"/>
    <w:unhideWhenUsed/>
    <w:uiPriority w:val="99"/>
    <w:pPr>
      <w:spacing w:before="100" w:beforeAutospacing="1" w:line="480" w:lineRule="auto"/>
      <w:ind w:left="420" w:leftChars="2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unhideWhenUsed/>
    <w:qFormat/>
    <w:uiPriority w:val="99"/>
    <w:pPr>
      <w:ind w:firstLine="420" w:firstLineChars="200"/>
    </w:pPr>
  </w:style>
  <w:style w:type="character" w:customStyle="1" w:styleId="8">
    <w:name w:val="页眉 Char"/>
    <w:basedOn w:val="6"/>
    <w:link w:val="4"/>
    <w:semiHidden/>
    <w:qFormat/>
    <w:uiPriority w:val="99"/>
    <w:rPr>
      <w:kern w:val="2"/>
      <w:sz w:val="18"/>
      <w:szCs w:val="18"/>
    </w:rPr>
  </w:style>
  <w:style w:type="character" w:customStyle="1" w:styleId="9">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1622</Words>
  <Characters>1708</Characters>
  <Lines>14</Lines>
  <Paragraphs>4</Paragraphs>
  <TotalTime>29</TotalTime>
  <ScaleCrop>false</ScaleCrop>
  <LinksUpToDate>false</LinksUpToDate>
  <CharactersWithSpaces>1760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2021-06-16T07:09:00Z</dcterms:created>
  <dc:creator>User</dc:creator>
  <cp:lastModifiedBy>心碎雨</cp:lastModifiedBy>
  <dcterms:modified xsi:type="dcterms:W3CDTF">2024-09-19T09:31:42Z</dcterms:modified>
  <dc:title>华池县关于2022年甘肃省财政厅下达省级体育彩票公益金（第一批）资金绩效自评报告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54839A31A88048FE9E0394E5A6AB52D7_13</vt:lpwstr>
  </property>
</Properties>
</file>