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华池县中医医院部门决算</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一、部门职责</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华池县中医医院是医疗、卫生等工作的职能部门。主要职责是:（一）为人民群众提供中西医医疗、预防、保健、计划生育、康复等医疗卫生服务。（二）贯彻落实医药卫生体制改革、中西医并重方针和国家中医药法律法规，执行中医药政策；拟定实施中医药、民族医药和中西医结合发展战略、规划；指导全县各医疗机构发展中医药和中西医结合业务建设。（三）承担意外灾害事故、疫情等突发公共卫生事件的医疗急救及社区预防、保健和康复医疗服务工作，开展各种医疗保健卫生知识宣传普及。（四）做好城镇职工基本医疗保险、城镇居民基本医疗保险和新型农村合作医疗保险等定点医疗机构的各项工作。（五）参与卫生扶贫、重要会议与重大活动的医疗卫生保障工作。（六）承担县委政府及县卫生局交办的其他卫生工作。</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二、机构设置</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（1）机关内设机构</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华池县中医医院内设机构0个股室。</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（2）人员情况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年度，我单位共有编制70名，其中：行政编制0名，参公事业编制0名，事业编制70名，后勤编制0名。财政供养总人数1</w:t>
      </w:r>
      <w:r>
        <w:rPr>
          <w:rFonts w:hint="eastAsia" w:ascii="宋体" w:hAnsi="宋体"/>
          <w:color w:val="auto"/>
          <w:sz w:val="24"/>
          <w:szCs w:val="24"/>
          <w:lang w:val="en-US" w:eastAsia="zh-CN"/>
        </w:rPr>
        <w:t>58</w:t>
      </w:r>
      <w:r>
        <w:rPr>
          <w:rFonts w:hint="eastAsia" w:ascii="宋体" w:hAnsi="宋体"/>
          <w:color w:val="auto"/>
          <w:sz w:val="24"/>
          <w:szCs w:val="24"/>
          <w:lang w:val="zh-CN"/>
        </w:rPr>
        <w:t>人，其中：在职人员</w:t>
      </w:r>
      <w:r>
        <w:rPr>
          <w:rFonts w:hint="eastAsia" w:ascii="宋体" w:hAnsi="宋体"/>
          <w:color w:val="auto"/>
          <w:sz w:val="24"/>
          <w:szCs w:val="24"/>
          <w:lang w:val="en-US" w:eastAsia="zh-CN"/>
        </w:rPr>
        <w:t>89</w:t>
      </w:r>
      <w:r>
        <w:rPr>
          <w:rFonts w:hint="eastAsia" w:ascii="宋体" w:hAnsi="宋体"/>
          <w:color w:val="auto"/>
          <w:sz w:val="24"/>
          <w:szCs w:val="24"/>
          <w:lang w:val="zh-CN"/>
        </w:rPr>
        <w:t>人，雇佣人员6</w:t>
      </w:r>
      <w:r>
        <w:rPr>
          <w:rFonts w:hint="eastAsia" w:ascii="宋体" w:hAnsi="宋体"/>
          <w:color w:val="auto"/>
          <w:sz w:val="24"/>
          <w:szCs w:val="24"/>
          <w:lang w:val="en-US" w:eastAsia="zh-CN"/>
        </w:rPr>
        <w:t>9</w:t>
      </w:r>
      <w:r>
        <w:rPr>
          <w:rFonts w:hint="eastAsia" w:ascii="宋体" w:hAnsi="宋体"/>
          <w:color w:val="auto"/>
          <w:sz w:val="24"/>
          <w:szCs w:val="24"/>
          <w:lang w:val="zh-CN"/>
        </w:rPr>
        <w:t>人，离退休0人，遗属0人。</w:t>
      </w:r>
    </w:p>
    <w:p>
      <w:pPr>
        <w:spacing w:before="100" w:beforeLines="0" w:after="100" w:afterLines="0"/>
        <w:jc w:val="center"/>
        <w:rPr>
          <w:rFonts w:hint="eastAsia" w:ascii="宋体" w:hAnsi="宋体" w:eastAsia="宋体"/>
          <w:b/>
          <w:color w:val="auto"/>
          <w:sz w:val="24"/>
          <w:szCs w:val="24"/>
          <w:highlight w:val="none"/>
          <w:lang w:val="en-US" w:eastAsia="zh-CN"/>
        </w:rPr>
      </w:pPr>
      <w:r>
        <w:rPr>
          <w:rFonts w:hint="eastAsia" w:ascii="宋体" w:hAnsi="宋体"/>
          <w:b/>
          <w:color w:val="auto"/>
          <w:sz w:val="24"/>
          <w:szCs w:val="24"/>
          <w:highlight w:val="none"/>
          <w:lang w:val="zh-CN"/>
        </w:rPr>
        <w:t>第二部分2023年度部门决算表</w:t>
      </w:r>
      <w:r>
        <w:rPr>
          <w:rFonts w:hint="eastAsia" w:ascii="宋体" w:hAnsi="宋体"/>
          <w:b/>
          <w:color w:val="auto"/>
          <w:sz w:val="24"/>
          <w:szCs w:val="24"/>
          <w:highlight w:val="none"/>
          <w:lang w:val="en-US" w:eastAsia="zh-CN"/>
        </w:rPr>
        <w:t>(见附件）</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0" w:firstLineChars="200"/>
        <w:jc w:val="left"/>
        <w:textAlignment w:val="auto"/>
        <w:rPr>
          <w:rFonts w:hint="eastAsia" w:ascii="宋体" w:hAnsi="宋体"/>
          <w:b/>
          <w:bCs/>
          <w:color w:val="auto"/>
          <w:sz w:val="24"/>
          <w:szCs w:val="24"/>
          <w:lang w:val="zh-CN" w:eastAsia="zh-CN"/>
        </w:rPr>
      </w:pPr>
      <w:r>
        <w:rPr>
          <w:rFonts w:hint="eastAsia" w:ascii="宋体" w:hAnsi="宋体"/>
          <w:b w:val="0"/>
          <w:bCs w:val="0"/>
          <w:color w:val="auto"/>
          <w:sz w:val="24"/>
          <w:szCs w:val="24"/>
          <w:lang w:val="zh-CN" w:eastAsia="zh-CN"/>
        </w:rPr>
        <w:t>一</w:t>
      </w:r>
      <w:r>
        <w:rPr>
          <w:rFonts w:hint="eastAsia" w:ascii="宋体" w:hAnsi="宋体"/>
          <w:b/>
          <w:bCs/>
          <w:color w:val="auto"/>
          <w:sz w:val="24"/>
          <w:szCs w:val="24"/>
          <w:lang w:val="zh-CN" w:eastAsia="zh-CN"/>
        </w:rPr>
        <w:t>、收入支出决算总表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六、一般公共预算财政拨款基本支出决算明细表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en-US" w:eastAsia="zh-CN"/>
        </w:rPr>
      </w:pPr>
      <w:r>
        <w:rPr>
          <w:rFonts w:hint="eastAsia" w:ascii="宋体" w:hAnsi="宋体"/>
          <w:b/>
          <w:bCs/>
          <w:color w:val="auto"/>
          <w:sz w:val="24"/>
          <w:szCs w:val="24"/>
          <w:lang w:val="zh-CN" w:eastAsia="zh-CN"/>
        </w:rPr>
        <w:t>八、国有资本经营预算财政拨款支出决算表</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九、财政拨款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经费支出决算表</w:t>
      </w:r>
    </w:p>
    <w:p>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2898.04万元。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减少1692.77万元,下降36.87%,主要原因是</w:t>
      </w:r>
      <w:r>
        <w:rPr>
          <w:rFonts w:hint="eastAsia" w:ascii="宋体" w:hAnsi="宋体"/>
          <w:color w:val="auto"/>
          <w:sz w:val="24"/>
          <w:szCs w:val="24"/>
          <w:lang w:val="en-US" w:eastAsia="zh-CN"/>
        </w:rPr>
        <w:t>基本支出减少，上年度支出中含市县聘用人员养老保险金支出。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2023年度收入合计2330.99万元,其中：财政拨款收入2330.99万元,占100.00%；</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2023年度支出合计2898.04万元,其中：基本支出2010.88万元,占69.39%；项目支出887.15万元,占30.61%；</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2898.04万元。与</w:t>
      </w:r>
      <w:r>
        <w:rPr>
          <w:rFonts w:hint="eastAsia" w:ascii="宋体" w:hAnsi="宋体"/>
          <w:color w:val="auto"/>
          <w:sz w:val="24"/>
          <w:szCs w:val="24"/>
          <w:lang w:val="en-US"/>
        </w:rPr>
        <w:t>上</w:t>
      </w:r>
      <w:r>
        <w:rPr>
          <w:rFonts w:hint="eastAsia" w:ascii="宋体" w:hAnsi="宋体"/>
          <w:color w:val="auto"/>
          <w:sz w:val="24"/>
          <w:szCs w:val="24"/>
          <w:lang w:val="zh-CN"/>
        </w:rPr>
        <w:t>年相比,各减少1692.76万元,下降36.87%。主要原因是</w:t>
      </w:r>
      <w:r>
        <w:rPr>
          <w:rFonts w:hint="eastAsia" w:ascii="宋体" w:hAnsi="宋体"/>
          <w:color w:val="auto"/>
          <w:sz w:val="24"/>
          <w:szCs w:val="24"/>
          <w:lang w:val="en-US" w:eastAsia="zh-CN"/>
        </w:rPr>
        <w:t>基本支出减少，上年度支出中含市县聘用人员养老保险金支出。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（一）一般公共预算财政拨款支出决算总体情况</w:t>
      </w:r>
    </w:p>
    <w:p>
      <w:pPr>
        <w:spacing w:before="100" w:beforeLines="0" w:after="100" w:afterLines="0"/>
        <w:ind w:firstLine="480" w:firstLineChars="200"/>
        <w:jc w:val="left"/>
        <w:rPr>
          <w:rFonts w:hint="eastAsia" w:ascii="宋体" w:hAnsi="宋体" w:eastAsia="宋体"/>
          <w:color w:val="auto"/>
          <w:sz w:val="24"/>
          <w:szCs w:val="24"/>
          <w:highlight w:val="none"/>
          <w:lang w:val="en-US" w:eastAsia="zh-CN"/>
        </w:rPr>
      </w:pPr>
      <w:r>
        <w:rPr>
          <w:rFonts w:hint="eastAsia" w:ascii="宋体" w:hAnsi="宋体"/>
          <w:color w:val="auto"/>
          <w:sz w:val="24"/>
          <w:szCs w:val="24"/>
          <w:lang w:val="zh-CN"/>
        </w:rPr>
        <w:t>2023年度一般公共预算财政拨款支出2330.99万元,较上年决算数增加211.84万元,增长10.0%。主要原因是</w:t>
      </w:r>
      <w:r>
        <w:rPr>
          <w:rFonts w:hint="eastAsia" w:ascii="宋体" w:hAnsi="宋体"/>
          <w:color w:val="auto"/>
          <w:sz w:val="24"/>
          <w:szCs w:val="24"/>
          <w:highlight w:val="none"/>
          <w:lang w:val="en-US" w:eastAsia="zh-CN"/>
        </w:rPr>
        <w:t>收入增加，含县聘人员2020-2022年养老保险配套资金、2021年度华池县过渡期奖励性补贴。</w:t>
      </w:r>
    </w:p>
    <w:p>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一般公共预算财政拨款支出决算结构情况</w:t>
      </w:r>
    </w:p>
    <w:p>
      <w:pPr>
        <w:numPr>
          <w:ilvl w:val="0"/>
          <w:numId w:val="0"/>
        </w:num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2330.99万元，主要用于以下方面：社会保障和就业支出336.08万元,占14.42%；卫生健康支出1994.91万元,占85.58%；</w:t>
      </w:r>
    </w:p>
    <w:p>
      <w:pPr>
        <w:keepNext w:val="0"/>
        <w:keepLines w:val="0"/>
        <w:pageBreakBefore w:val="0"/>
        <w:widowControl/>
        <w:numPr>
          <w:ilvl w:val="0"/>
          <w:numId w:val="1"/>
        </w:numPr>
        <w:kinsoku/>
        <w:wordWrap/>
        <w:overflowPunct/>
        <w:topLinePunct w:val="0"/>
        <w:autoSpaceDE/>
        <w:autoSpaceDN/>
        <w:bidi w:val="0"/>
        <w:adjustRightInd/>
        <w:snapToGrid/>
        <w:spacing w:before="100" w:beforeLines="0" w:after="100" w:afterLines="0"/>
        <w:ind w:left="0" w:leftChars="0"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一般公共预算财政拨款支出决算具体情况</w:t>
      </w:r>
    </w:p>
    <w:p>
      <w:pPr>
        <w:numPr>
          <w:ilvl w:val="0"/>
          <w:numId w:val="0"/>
        </w:numPr>
        <w:spacing w:before="100" w:beforeLines="0" w:after="100" w:afterLines="0"/>
        <w:ind w:leftChars="0"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1567.19万元,支出决算为2330.99万元,完成年初预算的148.74%。其中：</w:t>
      </w:r>
    </w:p>
    <w:p>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en-US" w:eastAsia="zh-CN"/>
        </w:rPr>
        <w:t xml:space="preserve">    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年初预算数为179.06万元,支出决算为336.08万元,完成年初预算的187.69%,决算数大于预算数的主要原因是</w:t>
      </w:r>
      <w:r>
        <w:rPr>
          <w:rFonts w:hint="eastAsia" w:ascii="宋体" w:hAnsi="宋体"/>
          <w:color w:val="auto"/>
          <w:sz w:val="24"/>
          <w:szCs w:val="24"/>
          <w:lang w:val="en-US" w:eastAsia="zh-CN"/>
        </w:rPr>
        <w:t>各项保险费用的增加</w:t>
      </w:r>
      <w:r>
        <w:rPr>
          <w:rFonts w:hint="eastAsia" w:ascii="宋体" w:hAnsi="宋体"/>
          <w:color w:val="auto"/>
          <w:sz w:val="24"/>
          <w:szCs w:val="24"/>
          <w:lang w:val="zh-CN"/>
        </w:rPr>
        <w:t>。</w:t>
      </w:r>
    </w:p>
    <w:p>
      <w:pPr>
        <w:spacing w:before="100" w:beforeLines="0" w:after="100" w:afterLines="0"/>
        <w:ind w:firstLine="482" w:firstLineChars="200"/>
        <w:jc w:val="left"/>
        <w:rPr>
          <w:rFonts w:hint="default" w:ascii="宋体" w:hAnsi="宋体"/>
          <w:color w:val="auto"/>
          <w:sz w:val="24"/>
          <w:szCs w:val="24"/>
          <w:lang w:val="en-US" w:eastAsia="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年初预算数为1388.13万元,支出决算为1994.91万元,完成年初预算的143.71%,决算数大于预算数的主要原因是</w:t>
      </w:r>
      <w:r>
        <w:rPr>
          <w:rFonts w:hint="eastAsia" w:ascii="宋体" w:hAnsi="宋体"/>
          <w:color w:val="auto"/>
          <w:sz w:val="24"/>
          <w:szCs w:val="24"/>
          <w:lang w:val="en-US" w:eastAsia="zh-CN"/>
        </w:rPr>
        <w:t>科学发展观业绩奖支出。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2023年度一般公共预算财政拨款基本支出2010.88万元。其中：</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1977.11万元,较上年决算数减少28.34万元,下降1.41%,主要原因是</w:t>
      </w:r>
      <w:r>
        <w:rPr>
          <w:rFonts w:hint="eastAsia" w:ascii="宋体" w:hAnsi="宋体"/>
          <w:color w:val="auto"/>
          <w:sz w:val="24"/>
          <w:szCs w:val="24"/>
          <w:lang w:val="en-US" w:eastAsia="zh-CN"/>
        </w:rPr>
        <w:t>上年养老保险金支出大</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33.77万元,较上年决算数减少79.93万元,下降70.3%</w:t>
      </w:r>
      <w:r>
        <w:rPr>
          <w:rFonts w:hint="eastAsia" w:ascii="宋体" w:hAnsi="宋体"/>
          <w:color w:val="auto"/>
          <w:sz w:val="24"/>
          <w:szCs w:val="24"/>
          <w:highlight w:val="none"/>
          <w:lang w:val="zh-CN"/>
        </w:rPr>
        <w:t>,主要原因是</w:t>
      </w:r>
      <w:r>
        <w:rPr>
          <w:rFonts w:hint="eastAsia" w:ascii="宋体" w:hAnsi="宋体"/>
          <w:color w:val="auto"/>
          <w:sz w:val="24"/>
          <w:szCs w:val="24"/>
          <w:highlight w:val="none"/>
          <w:lang w:val="en-US" w:eastAsia="zh-CN"/>
        </w:rPr>
        <w:t>基本支出减少，仅支出了工会费和福利费</w:t>
      </w:r>
      <w:r>
        <w:rPr>
          <w:rFonts w:hint="eastAsia" w:ascii="宋体" w:hAnsi="宋体"/>
          <w:color w:val="auto"/>
          <w:sz w:val="24"/>
          <w:szCs w:val="24"/>
          <w:highlight w:val="none"/>
          <w:lang w:val="zh-CN"/>
        </w:rPr>
        <w:t>。</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水、电、暖、特殊材料费等</w:t>
      </w:r>
      <w:r>
        <w:rPr>
          <w:rFonts w:hint="eastAsia" w:ascii="宋体" w:hAnsi="宋体"/>
          <w:color w:val="auto"/>
          <w:sz w:val="24"/>
          <w:szCs w:val="24"/>
          <w:lang w:val="zh-CN"/>
        </w:rPr>
        <w:t>。</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2023年度政府性基金预算财政拨款年初结转和结余567.05万元,本年收入0.00万元,本年支出567.05万元,年末结转和结余0.00</w:t>
      </w:r>
      <w:r>
        <w:rPr>
          <w:rFonts w:hint="eastAsia" w:ascii="宋体" w:hAnsi="宋体"/>
          <w:color w:val="auto"/>
          <w:sz w:val="24"/>
          <w:szCs w:val="24"/>
          <w:lang w:val="en-US" w:eastAsia="zh-CN"/>
        </w:rPr>
        <w:t>万元</w:t>
      </w:r>
      <w:r>
        <w:rPr>
          <w:rFonts w:hint="eastAsia" w:ascii="宋体" w:hAnsi="宋体"/>
          <w:color w:val="auto"/>
          <w:sz w:val="24"/>
          <w:szCs w:val="24"/>
          <w:lang w:val="zh-CN"/>
        </w:rPr>
        <w:t>,支出具体情况如下</w:t>
      </w:r>
      <w:r>
        <w:rPr>
          <w:rFonts w:hint="eastAsia" w:ascii="宋体" w:hAnsi="宋体"/>
          <w:color w:val="auto"/>
          <w:sz w:val="24"/>
          <w:szCs w:val="24"/>
          <w:lang w:val="en-US" w:eastAsia="zh-CN"/>
        </w:rPr>
        <w:t>支付中医医院整体搬迁改造项目款</w:t>
      </w:r>
      <w:r>
        <w:rPr>
          <w:rFonts w:hint="eastAsia" w:ascii="宋体" w:hAnsi="宋体"/>
          <w:color w:val="auto"/>
          <w:sz w:val="24"/>
          <w:szCs w:val="24"/>
          <w:lang w:val="zh-CN"/>
        </w:rPr>
        <w:t>。</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w:t>
      </w:r>
      <w:r>
        <w:rPr>
          <w:rFonts w:hint="eastAsia" w:ascii="宋体" w:hAnsi="宋体"/>
          <w:color w:val="auto"/>
          <w:sz w:val="24"/>
          <w:szCs w:val="24"/>
          <w:highlight w:val="none"/>
          <w:lang w:val="zh-CN"/>
        </w:rPr>
        <w:t>小于预算数的主要原因是我单位属于</w:t>
      </w:r>
      <w:r>
        <w:rPr>
          <w:rFonts w:hint="eastAsia" w:ascii="宋体" w:hAnsi="宋体"/>
          <w:color w:val="auto"/>
          <w:sz w:val="24"/>
          <w:szCs w:val="24"/>
          <w:highlight w:val="none"/>
          <w:lang w:val="en-US" w:eastAsia="zh-CN"/>
        </w:rPr>
        <w:t>财政差额拨款单位</w:t>
      </w:r>
      <w:r>
        <w:rPr>
          <w:rFonts w:hint="eastAsia" w:ascii="宋体" w:hAnsi="宋体"/>
          <w:color w:val="auto"/>
          <w:sz w:val="24"/>
          <w:szCs w:val="24"/>
          <w:highlight w:val="none"/>
          <w:lang w:val="zh-CN"/>
        </w:rPr>
        <w:t>,财政未保障我单位</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三公</w:t>
      </w:r>
      <w:r>
        <w:rPr>
          <w:rFonts w:hint="default" w:ascii="宋体" w:hAnsi="宋体"/>
          <w:color w:val="auto"/>
          <w:sz w:val="24"/>
          <w:szCs w:val="24"/>
          <w:highlight w:val="none"/>
          <w:lang w:val="zh-CN"/>
        </w:rPr>
        <w:t>”</w:t>
      </w:r>
      <w:r>
        <w:rPr>
          <w:rFonts w:hint="eastAsia" w:ascii="宋体" w:hAnsi="宋体"/>
          <w:color w:val="auto"/>
          <w:sz w:val="24"/>
          <w:szCs w:val="24"/>
          <w:highlight w:val="none"/>
          <w:lang w:val="zh-CN"/>
        </w:rPr>
        <w:t>经费,</w:t>
      </w:r>
      <w:r>
        <w:rPr>
          <w:rFonts w:hint="eastAsia" w:ascii="宋体" w:hAnsi="宋体"/>
          <w:color w:val="auto"/>
          <w:sz w:val="24"/>
          <w:szCs w:val="24"/>
          <w:highlight w:val="none"/>
          <w:lang w:val="en-US"/>
        </w:rPr>
        <w:t>较上年决算数</w:t>
      </w:r>
      <w:r>
        <w:rPr>
          <w:rFonts w:hint="eastAsia" w:ascii="宋体" w:hAnsi="宋体"/>
          <w:color w:val="auto"/>
          <w:sz w:val="24"/>
          <w:szCs w:val="24"/>
          <w:highlight w:val="none"/>
          <w:lang w:val="en-US" w:eastAsia="zh-CN"/>
        </w:rPr>
        <w:t>减少0.0</w:t>
      </w:r>
      <w:r>
        <w:rPr>
          <w:rFonts w:hint="eastAsia" w:ascii="宋体" w:hAnsi="宋体"/>
          <w:color w:val="auto"/>
          <w:sz w:val="24"/>
          <w:szCs w:val="24"/>
          <w:highlight w:val="none"/>
          <w:lang w:val="zh-CN"/>
        </w:rPr>
        <w:t>万元</w:t>
      </w:r>
      <w:r>
        <w:rPr>
          <w:rFonts w:hint="eastAsia" w:ascii="宋体" w:hAnsi="宋体"/>
          <w:color w:val="auto"/>
          <w:sz w:val="24"/>
          <w:szCs w:val="24"/>
          <w:highlight w:val="none"/>
          <w:lang w:val="en-US"/>
        </w:rPr>
        <w:t>,</w:t>
      </w:r>
      <w:r>
        <w:rPr>
          <w:rFonts w:hint="eastAsia" w:ascii="宋体" w:hAnsi="宋体"/>
          <w:color w:val="auto"/>
          <w:sz w:val="24"/>
          <w:szCs w:val="24"/>
          <w:highlight w:val="none"/>
          <w:lang w:val="en-US" w:eastAsia="zh-CN"/>
        </w:rPr>
        <w:t>下降</w:t>
      </w:r>
      <w:r>
        <w:rPr>
          <w:rFonts w:hint="eastAsia" w:ascii="宋体" w:hAnsi="宋体"/>
          <w:color w:val="auto"/>
          <w:sz w:val="24"/>
          <w:szCs w:val="24"/>
          <w:highlight w:val="none"/>
          <w:lang w:val="zh-CN"/>
        </w:rPr>
        <w:t>%</w:t>
      </w:r>
      <w:r>
        <w:rPr>
          <w:rFonts w:hint="eastAsia" w:ascii="宋体" w:hAnsi="宋体"/>
          <w:color w:val="auto"/>
          <w:sz w:val="24"/>
          <w:szCs w:val="24"/>
          <w:highlight w:val="none"/>
          <w:lang w:val="en-US"/>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keepNext w:val="0"/>
        <w:keepLines w:val="0"/>
        <w:pageBreakBefore w:val="0"/>
        <w:widowControl/>
        <w:numPr>
          <w:ilvl w:val="0"/>
          <w:numId w:val="2"/>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numPr>
          <w:ilvl w:val="0"/>
          <w:numId w:val="0"/>
        </w:num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年预算数为0.00万元,支出决算为0.00万元,决算数小于预算数的主要原因是我单位属于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numPr>
          <w:ilvl w:val="0"/>
          <w:numId w:val="0"/>
        </w:num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外事接待费支出0.00万元。主要是我单位属于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numPr>
          <w:ilvl w:val="0"/>
          <w:numId w:val="0"/>
        </w:numPr>
        <w:spacing w:before="100" w:beforeLines="0" w:after="100" w:afterLines="0"/>
        <w:ind w:firstLine="480" w:firstLineChars="200"/>
        <w:jc w:val="left"/>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0.00万元。我单位属于</w:t>
      </w:r>
      <w:r>
        <w:rPr>
          <w:rFonts w:hint="eastAsia" w:ascii="宋体" w:hAnsi="宋体"/>
          <w:color w:val="auto"/>
          <w:sz w:val="24"/>
          <w:szCs w:val="24"/>
          <w:lang w:val="en-US" w:eastAsia="zh-CN"/>
        </w:rPr>
        <w:t>财政差额拨款单位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pPr>
        <w:keepNext w:val="0"/>
        <w:keepLines w:val="0"/>
        <w:pageBreakBefore w:val="0"/>
        <w:widowControl/>
        <w:numPr>
          <w:ilvl w:val="0"/>
          <w:numId w:val="2"/>
        </w:numPr>
        <w:kinsoku/>
        <w:wordWrap/>
        <w:overflowPunct/>
        <w:topLinePunct w:val="0"/>
        <w:autoSpaceDE/>
        <w:autoSpaceDN/>
        <w:bidi w:val="0"/>
        <w:adjustRightInd/>
        <w:snapToGrid/>
        <w:spacing w:before="100" w:beforeLines="0" w:after="100" w:afterLines="0"/>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pPr>
        <w:spacing w:before="100" w:beforeLines="0" w:after="100" w:afterLines="0"/>
        <w:ind w:firstLine="480" w:firstLineChars="200"/>
        <w:jc w:val="left"/>
        <w:rPr>
          <w:rFonts w:hint="eastAsia" w:ascii="宋体" w:hAnsi="宋体"/>
          <w:b w:val="0"/>
          <w:bCs w:val="0"/>
          <w:color w:val="auto"/>
          <w:sz w:val="24"/>
          <w:szCs w:val="24"/>
          <w:lang w:val="zh-CN"/>
        </w:rPr>
      </w:pPr>
      <w:r>
        <w:rPr>
          <w:rFonts w:hint="eastAsia" w:ascii="宋体" w:hAnsi="宋体"/>
          <w:b w:val="0"/>
          <w:bCs w:val="0"/>
          <w:color w:val="auto"/>
          <w:sz w:val="24"/>
          <w:szCs w:val="24"/>
          <w:lang w:val="zh-CN"/>
        </w:rPr>
        <w:t>2023年度本部门因公出国(境)共计</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个团组,</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人；公务用车购置</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辆,公务用车保有量为</w:t>
      </w:r>
      <w:r>
        <w:rPr>
          <w:rFonts w:hint="eastAsia" w:ascii="宋体" w:hAnsi="宋体"/>
          <w:b w:val="0"/>
          <w:bCs w:val="0"/>
          <w:color w:val="auto"/>
          <w:sz w:val="24"/>
          <w:szCs w:val="24"/>
          <w:lang w:val="en-US" w:eastAsia="zh-CN"/>
        </w:rPr>
        <w:t>6</w:t>
      </w:r>
      <w:r>
        <w:rPr>
          <w:rFonts w:hint="eastAsia" w:ascii="宋体" w:hAnsi="宋体"/>
          <w:b w:val="0"/>
          <w:bCs w:val="0"/>
          <w:color w:val="auto"/>
          <w:sz w:val="24"/>
          <w:szCs w:val="24"/>
          <w:lang w:val="zh-CN"/>
        </w:rPr>
        <w:t>辆；国内公务接待</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批次</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人,其中：外事接待</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批次,</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人；国(境)外公务接待</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批次,</w:t>
      </w:r>
      <w:r>
        <w:rPr>
          <w:rFonts w:hint="eastAsia" w:ascii="宋体" w:hAnsi="宋体"/>
          <w:b w:val="0"/>
          <w:bCs w:val="0"/>
          <w:color w:val="auto"/>
          <w:sz w:val="24"/>
          <w:szCs w:val="24"/>
          <w:lang w:val="en-US" w:eastAsia="zh-CN"/>
        </w:rPr>
        <w:t>0</w:t>
      </w:r>
      <w:r>
        <w:rPr>
          <w:rFonts w:hint="eastAsia" w:ascii="宋体" w:hAnsi="宋体"/>
          <w:b w:val="0"/>
          <w:bCs w:val="0"/>
          <w:color w:val="auto"/>
          <w:sz w:val="24"/>
          <w:szCs w:val="24"/>
          <w:lang w:val="zh-CN"/>
        </w:rPr>
        <w:t>人。</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1214.09万元,其中：政府采购货物支出844.08万元、政府采购工程支出3.20万元、政府采购服务支出366.81万元。授予中小企业合同金额1214.09万元,占政府采购支出总额的100.00%,其中：授予小微企业合同金额1214.09万元,占政府采购支出总额的100.00%。</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6辆,其中,副部(省)级及以上领导用车0辆、主要领导干部用车0辆、机要通信用车0辆、应急保障用车1辆、执法执勤用车0辆,特种专业技术用车5辆,离退休干部用车0辆,其他用车0辆,其他用车主要是用于</w:t>
      </w:r>
      <w:r>
        <w:rPr>
          <w:rFonts w:hint="eastAsia" w:ascii="宋体" w:hAnsi="宋体"/>
          <w:color w:val="auto"/>
          <w:sz w:val="24"/>
          <w:szCs w:val="24"/>
          <w:lang w:val="en-US" w:eastAsia="zh-CN"/>
        </w:rPr>
        <w:t>保障医疗服务</w:t>
      </w:r>
      <w:r>
        <w:rPr>
          <w:rFonts w:hint="eastAsia" w:ascii="宋体" w:hAnsi="宋体"/>
          <w:color w:val="auto"/>
          <w:sz w:val="24"/>
          <w:szCs w:val="24"/>
          <w:lang w:val="zh-CN"/>
        </w:rPr>
        <w:t>。单价100万元(含)以上设备16台(套)。</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auto"/>
          <w:sz w:val="24"/>
          <w:szCs w:val="24"/>
          <w:lang w:val="zh-CN"/>
        </w:rPr>
      </w:pPr>
      <w:bookmarkStart w:id="0" w:name="_GoBack"/>
      <w:bookmarkEnd w:id="0"/>
    </w:p>
    <w:p>
      <w:pPr>
        <w:spacing w:before="100" w:beforeLines="0" w:after="100" w:afterLines="0"/>
        <w:jc w:val="left"/>
        <w:rPr>
          <w:rFonts w:hint="eastAsia" w:ascii="宋体" w:hAnsi="宋体"/>
          <w:color w:val="auto"/>
          <w:sz w:val="24"/>
          <w:szCs w:val="24"/>
          <w:highlight w:val="none"/>
          <w:lang w:val="zh-CN"/>
        </w:rPr>
      </w:pPr>
    </w:p>
    <w:p>
      <w:pPr>
        <w:numPr>
          <w:ilvl w:val="0"/>
          <w:numId w:val="3"/>
        </w:numPr>
        <w:spacing w:before="100" w:beforeLines="0" w:after="100" w:afterLines="0"/>
        <w:jc w:val="center"/>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r>
        <w:rPr>
          <w:rFonts w:hint="eastAsia" w:ascii="宋体" w:hAnsi="宋体"/>
          <w:b/>
          <w:bCs/>
          <w:color w:val="auto"/>
          <w:sz w:val="24"/>
          <w:szCs w:val="24"/>
          <w:lang w:val="en-US" w:eastAsia="zh-CN"/>
        </w:rPr>
        <w:t>(见附件</w:t>
      </w:r>
      <w:r>
        <w:rPr>
          <w:rFonts w:hint="eastAsia" w:ascii="宋体" w:hAnsi="宋体"/>
          <w:b w:val="0"/>
          <w:bCs w:val="0"/>
          <w:color w:val="auto"/>
          <w:sz w:val="24"/>
          <w:szCs w:val="24"/>
          <w:lang w:val="en-US" w:eastAsia="zh-CN"/>
        </w:rPr>
        <w:t>）</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一、预算绩效管理工作开展情况</w:t>
      </w:r>
    </w:p>
    <w:p>
      <w:pPr>
        <w:numPr>
          <w:ilvl w:val="0"/>
          <w:numId w:val="0"/>
        </w:numPr>
        <w:spacing w:before="100" w:beforeLines="0" w:after="100" w:afterLines="0"/>
        <w:ind w:firstLine="480" w:firstLineChars="200"/>
        <w:jc w:val="left"/>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根据预算绩效管理要求,本单位对2023年度整体支出全面开展绩效自评,其中涉及资金2898万元,占总支出总额100%。从评价情况来看医院资金管理规范,牢固树立预算绩效理念强化支出责任，提高资金使用效益，自评结果为“优”。</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二、绩效自评结果</w:t>
      </w:r>
    </w:p>
    <w:p>
      <w:pPr>
        <w:numPr>
          <w:ilvl w:val="0"/>
          <w:numId w:val="0"/>
        </w:numPr>
        <w:spacing w:before="100" w:beforeLines="0" w:after="100" w:afterLines="0"/>
        <w:ind w:firstLine="480" w:firstLineChars="200"/>
        <w:jc w:val="left"/>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我单位在2023年度部门决算中反映整体绩效自评结果。</w:t>
      </w:r>
    </w:p>
    <w:p>
      <w:pPr>
        <w:numPr>
          <w:ilvl w:val="0"/>
          <w:numId w:val="0"/>
        </w:numPr>
        <w:spacing w:before="100" w:beforeLines="0" w:after="100" w:afterLines="0"/>
        <w:ind w:firstLine="480" w:firstLineChars="200"/>
        <w:jc w:val="left"/>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整体支出绩效自评情况:根据年初设定的绩效目标，整体绩效自评得分为 98分。全年预算数为2898万元,执行数为2898万元,完成预算的 100%。整体绩效目标完成情况:一是合理安排支出，提高资金使用效益。二是保障部门工作正常运转。发现的主要问题及原因:一是预算绩效管理经验需要进一步积累。因为预算绩效管理工作具有政策性强、专业性强、涉及面广、操作难度大等特点，经验不足，导致工作多走许多弯转。发现的主要问题及原因:一是预算绩效管理经验需要进一步积累。因为预算绩效管理工作具有政策性强、专业性强、涉及面广、操作难度大等特点，经验不足，导致工作多走许多弯路，影响工作效果;二是本单位严重缺乏专业财务人员，对财政相关规定和业务不够熟练。三是医疗收入增长未达到目标值。下一步改进措施:一是建立健全各项资金管理制度，严格执行财务管理制度，做到财务处理及时，会计核算规范，严格按照计划进度支付;二是对财务人员定期进行培训，提高财务人员的业务能力;三是提高医务人员业务能力。</w:t>
      </w:r>
    </w:p>
    <w:p>
      <w:pPr>
        <w:keepNext w:val="0"/>
        <w:keepLines w:val="0"/>
        <w:pageBreakBefore w:val="0"/>
        <w:widowControl/>
        <w:kinsoku/>
        <w:wordWrap/>
        <w:overflowPunct/>
        <w:topLinePunct w:val="0"/>
        <w:autoSpaceDE/>
        <w:autoSpaceDN/>
        <w:bidi w:val="0"/>
        <w:adjustRightInd/>
        <w:snapToGrid/>
        <w:spacing w:before="100" w:beforeLines="0" w:after="100" w:afterLines="0"/>
        <w:ind w:firstLine="482" w:firstLineChars="200"/>
        <w:jc w:val="left"/>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三、部门绩效评价结果</w:t>
      </w:r>
    </w:p>
    <w:p>
      <w:pPr>
        <w:numPr>
          <w:ilvl w:val="0"/>
          <w:numId w:val="0"/>
        </w:numPr>
        <w:spacing w:before="100" w:beforeLines="0" w:after="100" w:afterLines="0"/>
        <w:ind w:firstLine="480" w:firstLineChars="200"/>
        <w:jc w:val="left"/>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无</w:t>
      </w: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ind w:firstLine="480" w:firstLineChars="200"/>
        <w:jc w:val="both"/>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2023年</w:t>
      </w:r>
      <w:r>
        <w:rPr>
          <w:rFonts w:hint="eastAsia" w:ascii="宋体" w:hAnsi="宋体" w:eastAsia="宋体" w:cs="宋体"/>
          <w:color w:val="auto"/>
          <w:sz w:val="24"/>
          <w:szCs w:val="24"/>
          <w:lang w:val="zh-CN"/>
        </w:rPr>
        <w:t>社会保障和就业支出336.08</w:t>
      </w:r>
      <w:r>
        <w:rPr>
          <w:rFonts w:hint="eastAsia" w:ascii="宋体" w:hAnsi="宋体" w:cs="宋体"/>
          <w:color w:val="auto"/>
          <w:sz w:val="24"/>
          <w:szCs w:val="24"/>
          <w:lang w:val="en-US" w:eastAsia="zh-CN"/>
        </w:rPr>
        <w:t>万元；其中</w:t>
      </w:r>
      <w:r>
        <w:rPr>
          <w:rFonts w:hint="eastAsia" w:ascii="宋体" w:hAnsi="宋体" w:eastAsia="宋体" w:cs="宋体"/>
          <w:color w:val="auto"/>
          <w:sz w:val="24"/>
          <w:szCs w:val="24"/>
          <w:lang w:val="zh-CN"/>
        </w:rPr>
        <w:t>机关事业单位基本养老保险缴费支出128.18</w:t>
      </w:r>
      <w:r>
        <w:rPr>
          <w:rFonts w:hint="eastAsia" w:ascii="宋体" w:hAnsi="宋体" w:cs="宋体"/>
          <w:color w:val="auto"/>
          <w:sz w:val="24"/>
          <w:szCs w:val="24"/>
          <w:lang w:val="en-US" w:eastAsia="zh-CN"/>
        </w:rPr>
        <w:t>万元、机关事业单位职业年金缴费支出33.39万元、其他行政事业单位养老支出165.68万元、其他社会保障和就业支出8.82万元。</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307577"/>
    <w:multiLevelType w:val="singleLevel"/>
    <w:tmpl w:val="F7307577"/>
    <w:lvl w:ilvl="0" w:tentative="0">
      <w:start w:val="2"/>
      <w:numFmt w:val="chineseCounting"/>
      <w:suff w:val="nothing"/>
      <w:lvlText w:val="(%1)"/>
      <w:lvlJc w:val="left"/>
      <w:pPr>
        <w:ind w:left="0" w:firstLine="0"/>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26FC6ECA"/>
    <w:multiLevelType w:val="singleLevel"/>
    <w:tmpl w:val="26FC6ECA"/>
    <w:lvl w:ilvl="0" w:tentative="0">
      <w:start w:val="4"/>
      <w:numFmt w:val="chineseCounting"/>
      <w:suff w:val="space"/>
      <w:lvlText w:val="第%1部分"/>
      <w:lvlJc w:val="left"/>
      <w:rPr>
        <w:rFonts w:hint="eastAsia"/>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wMjg0MDJjNDM5ODY1MDU5YTBkNzM0ODEzNTk5MTYifQ=="/>
  </w:docVars>
  <w:rsids>
    <w:rsidRoot w:val="00000000"/>
    <w:rsid w:val="167504A0"/>
    <w:rsid w:val="1A516B2E"/>
    <w:rsid w:val="1C1B73F4"/>
    <w:rsid w:val="30CD1E96"/>
    <w:rsid w:val="323E6936"/>
    <w:rsid w:val="495F0006"/>
    <w:rsid w:val="4F265109"/>
    <w:rsid w:val="5DEA34E8"/>
    <w:rsid w:val="5E9D2F9C"/>
    <w:rsid w:val="6639016F"/>
    <w:rsid w:val="694D1A91"/>
    <w:rsid w:val="79FD142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99652021-d3e2-4307-9eae-4cb1161e907e}">
  <ds:schemaRefs/>
</ds:datastoreItem>
</file>

<file path=customXml/itemProps2.xml><?xml version="1.0" encoding="utf-8"?>
<ds:datastoreItem xmlns:ds="http://schemas.openxmlformats.org/officeDocument/2006/customXml" ds:itemID="{365bb01b-5113-4714-b079-e42765635287}">
  <ds:schemaRefs/>
</ds:datastoreItem>
</file>

<file path=customXml/itemProps3.xml><?xml version="1.0" encoding="utf-8"?>
<ds:datastoreItem xmlns:ds="http://schemas.openxmlformats.org/officeDocument/2006/customXml" ds:itemID="{c5e2bf7a-4be3-4621-a76d-f12228914fc8}">
  <ds:schemaRefs/>
</ds:datastoreItem>
</file>

<file path=customXml/itemProps4.xml><?xml version="1.0" encoding="utf-8"?>
<ds:datastoreItem xmlns:ds="http://schemas.openxmlformats.org/officeDocument/2006/customXml" ds:itemID="{676f0962-09de-4206-a82a-e01f29a3f7a4}">
  <ds:schemaRefs/>
</ds:datastoreItem>
</file>

<file path=customXml/itemProps5.xml><?xml version="1.0" encoding="utf-8"?>
<ds:datastoreItem xmlns:ds="http://schemas.openxmlformats.org/officeDocument/2006/customXml" ds:itemID="{adc9c989-2d06-42d5-bb75-ffcb0aa3c3e4}">
  <ds:schemaRefs/>
</ds:datastoreItem>
</file>

<file path=customXml/itemProps6.xml><?xml version="1.0" encoding="utf-8"?>
<ds:datastoreItem xmlns:ds="http://schemas.openxmlformats.org/officeDocument/2006/customXml" ds:itemID="{87c7ec72-8218-40c4-8cc9-75f58ee4ddda}">
  <ds:schemaRefs/>
</ds:datastoreItem>
</file>

<file path=customXml/itemProps7.xml><?xml version="1.0" encoding="utf-8"?>
<ds:datastoreItem xmlns:ds="http://schemas.openxmlformats.org/officeDocument/2006/customXml" ds:itemID="{e0a55e0e-316c-4bcd-b7b0-60712fb11392}">
  <ds:schemaRefs/>
</ds:datastoreItem>
</file>

<file path=customXml/itemProps8.xml><?xml version="1.0" encoding="utf-8"?>
<ds:datastoreItem xmlns:ds="http://schemas.openxmlformats.org/officeDocument/2006/customXml" ds:itemID="{28353d4a-d5c9-47e4-adfa-5a66244f3da7}">
  <ds:schemaRefs/>
</ds:datastoreItem>
</file>

<file path=customXml/itemProps9.xml><?xml version="1.0" encoding="utf-8"?>
<ds:datastoreItem xmlns:ds="http://schemas.openxmlformats.org/officeDocument/2006/customXml" ds:itemID="{99372412-0471-47f1-a94e-f84d2b961f61}">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5057</Words>
  <Characters>5527</Characters>
  <Lines>0</Lines>
  <Paragraphs>0</Paragraphs>
  <TotalTime>82</TotalTime>
  <ScaleCrop>false</ScaleCrop>
  <LinksUpToDate>false</LinksUpToDate>
  <CharactersWithSpaces>5536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阳光雨</cp:lastModifiedBy>
  <dcterms:modified xsi:type="dcterms:W3CDTF">2024-09-13T07:10:25Z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E06D266F13EA4024808CEEADBAD91186_11</vt:lpwstr>
  </property>
</Properties>
</file>