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D06A9">
      <w:pPr>
        <w:spacing w:before="100" w:beforeLines="0" w:after="100" w:afterLines="0"/>
        <w:jc w:val="center"/>
        <w:rPr>
          <w:rFonts w:hint="eastAsia" w:ascii="仿宋_GB2312" w:hAnsi="仿宋_GB2312" w:eastAsia="仿宋_GB2312" w:cs="仿宋_GB2312"/>
          <w:sz w:val="32"/>
          <w:szCs w:val="32"/>
          <w:lang w:val="zh-CN"/>
        </w:rPr>
      </w:pPr>
    </w:p>
    <w:p w14:paraId="6DCCB616">
      <w:pPr>
        <w:spacing w:before="100" w:beforeLines="0" w:after="100" w:afterLines="0"/>
        <w:jc w:val="both"/>
        <w:rPr>
          <w:rFonts w:hint="eastAsia" w:ascii="仿宋_GB2312" w:hAnsi="仿宋_GB2312" w:eastAsia="仿宋_GB2312" w:cs="仿宋_GB2312"/>
          <w:sz w:val="32"/>
          <w:szCs w:val="32"/>
          <w:lang w:val="zh-CN"/>
        </w:rPr>
      </w:pPr>
    </w:p>
    <w:p w14:paraId="18AC1C34">
      <w:pPr>
        <w:spacing w:before="100" w:beforeLines="0" w:after="100" w:afterLines="0"/>
        <w:jc w:val="both"/>
        <w:rPr>
          <w:rFonts w:hint="eastAsia" w:ascii="仿宋_GB2312" w:hAnsi="仿宋_GB2312" w:eastAsia="仿宋_GB2312" w:cs="仿宋_GB2312"/>
          <w:sz w:val="32"/>
          <w:szCs w:val="32"/>
          <w:lang w:val="zh-CN"/>
        </w:rPr>
      </w:pPr>
    </w:p>
    <w:p w14:paraId="7F9D67F4">
      <w:pPr>
        <w:spacing w:before="100" w:beforeLines="0" w:after="100" w:afterLines="0"/>
        <w:jc w:val="center"/>
        <w:rPr>
          <w:rFonts w:hint="eastAsia" w:ascii="仿宋_GB2312" w:hAnsi="仿宋_GB2312" w:eastAsia="仿宋_GB2312" w:cs="仿宋_GB2312"/>
          <w:sz w:val="32"/>
          <w:szCs w:val="32"/>
          <w:lang w:val="zh-CN"/>
        </w:rPr>
      </w:pPr>
    </w:p>
    <w:p w14:paraId="1EA15727">
      <w:pPr>
        <w:spacing w:before="100" w:beforeLines="0" w:after="100" w:afterLines="0"/>
        <w:jc w:val="center"/>
        <w:rPr>
          <w:rFonts w:hint="eastAsia" w:ascii="仿宋_GB2312" w:hAnsi="仿宋_GB2312" w:eastAsia="仿宋_GB2312" w:cs="仿宋_GB2312"/>
          <w:sz w:val="32"/>
          <w:szCs w:val="32"/>
          <w:lang w:val="zh-CN"/>
        </w:rPr>
      </w:pPr>
    </w:p>
    <w:p w14:paraId="078784E2">
      <w:pPr>
        <w:spacing w:before="100" w:beforeLines="0" w:after="100" w:afterLines="0"/>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2023年度</w:t>
      </w:r>
    </w:p>
    <w:p w14:paraId="37804D6C">
      <w:pPr>
        <w:spacing w:before="100" w:beforeLines="0" w:after="100" w:afterLines="0"/>
        <w:jc w:val="center"/>
        <w:rPr>
          <w:rFonts w:hint="eastAsia" w:ascii="方正小标宋简体" w:hAnsi="方正小标宋简体" w:eastAsia="方正小标宋简体" w:cs="方正小标宋简体"/>
          <w:sz w:val="44"/>
          <w:szCs w:val="44"/>
          <w:lang w:val="zh-CN"/>
        </w:rPr>
      </w:pPr>
      <w:r>
        <w:rPr>
          <w:rFonts w:hint="eastAsia" w:ascii="方正小标宋简体" w:hAnsi="方正小标宋简体" w:eastAsia="方正小标宋简体" w:cs="方正小标宋简体"/>
          <w:sz w:val="44"/>
          <w:szCs w:val="44"/>
          <w:lang w:val="zh-CN"/>
        </w:rPr>
        <w:t>华池县柔远幼儿园部门决算</w:t>
      </w:r>
    </w:p>
    <w:p w14:paraId="69214219">
      <w:pPr>
        <w:spacing w:before="100" w:beforeLines="0" w:after="100" w:afterLines="0"/>
        <w:jc w:val="center"/>
        <w:rPr>
          <w:rFonts w:hint="eastAsia" w:ascii="仿宋_GB2312" w:hAnsi="仿宋_GB2312" w:eastAsia="仿宋_GB2312" w:cs="仿宋_GB2312"/>
          <w:sz w:val="32"/>
          <w:szCs w:val="32"/>
          <w:lang w:val="zh-CN"/>
        </w:rPr>
      </w:pPr>
    </w:p>
    <w:p w14:paraId="06946426">
      <w:pPr>
        <w:spacing w:before="100" w:beforeLines="0" w:after="100" w:afterLines="0"/>
        <w:jc w:val="center"/>
        <w:rPr>
          <w:rFonts w:hint="eastAsia" w:ascii="仿宋_GB2312" w:hAnsi="仿宋_GB2312" w:eastAsia="仿宋_GB2312" w:cs="仿宋_GB2312"/>
          <w:sz w:val="32"/>
          <w:szCs w:val="32"/>
          <w:lang w:val="zh-CN"/>
        </w:rPr>
      </w:pPr>
    </w:p>
    <w:p w14:paraId="6EA26D8B">
      <w:pPr>
        <w:spacing w:before="100" w:beforeLines="0" w:after="100" w:afterLines="0"/>
        <w:jc w:val="center"/>
        <w:rPr>
          <w:rFonts w:hint="eastAsia" w:ascii="仿宋_GB2312" w:hAnsi="仿宋_GB2312" w:eastAsia="仿宋_GB2312" w:cs="仿宋_GB2312"/>
          <w:sz w:val="32"/>
          <w:szCs w:val="32"/>
          <w:lang w:val="zh-CN"/>
        </w:rPr>
      </w:pPr>
    </w:p>
    <w:p w14:paraId="41F544A0">
      <w:pPr>
        <w:spacing w:before="100" w:beforeLines="0" w:after="100" w:afterLines="0"/>
        <w:jc w:val="center"/>
        <w:rPr>
          <w:rFonts w:hint="eastAsia" w:ascii="仿宋_GB2312" w:hAnsi="仿宋_GB2312" w:eastAsia="仿宋_GB2312" w:cs="仿宋_GB2312"/>
          <w:sz w:val="32"/>
          <w:szCs w:val="32"/>
          <w:lang w:val="zh-CN"/>
        </w:rPr>
      </w:pPr>
    </w:p>
    <w:p w14:paraId="6DB91AB4">
      <w:pPr>
        <w:spacing w:before="100" w:beforeLines="0" w:after="100" w:afterLines="0"/>
        <w:jc w:val="center"/>
        <w:rPr>
          <w:rFonts w:hint="eastAsia" w:ascii="仿宋_GB2312" w:hAnsi="仿宋_GB2312" w:eastAsia="仿宋_GB2312" w:cs="仿宋_GB2312"/>
          <w:sz w:val="32"/>
          <w:szCs w:val="32"/>
          <w:lang w:val="zh-CN"/>
        </w:rPr>
      </w:pPr>
    </w:p>
    <w:p w14:paraId="64EFCF32">
      <w:pPr>
        <w:spacing w:before="100" w:beforeLines="0" w:after="100" w:afterLines="0"/>
        <w:jc w:val="center"/>
        <w:rPr>
          <w:rFonts w:hint="eastAsia" w:ascii="仿宋_GB2312" w:hAnsi="仿宋_GB2312" w:eastAsia="仿宋_GB2312" w:cs="仿宋_GB2312"/>
          <w:sz w:val="32"/>
          <w:szCs w:val="32"/>
          <w:lang w:val="zh-CN"/>
        </w:rPr>
      </w:pPr>
    </w:p>
    <w:p w14:paraId="29D1B90E">
      <w:pPr>
        <w:spacing w:before="100" w:beforeLines="0" w:after="100" w:afterLines="0"/>
        <w:jc w:val="both"/>
        <w:rPr>
          <w:rFonts w:hint="eastAsia" w:ascii="仿宋_GB2312" w:hAnsi="仿宋_GB2312" w:eastAsia="仿宋_GB2312" w:cs="仿宋_GB2312"/>
          <w:sz w:val="32"/>
          <w:szCs w:val="32"/>
          <w:lang w:val="zh-CN"/>
        </w:rPr>
      </w:pPr>
    </w:p>
    <w:p w14:paraId="6812F7E8">
      <w:pPr>
        <w:spacing w:before="100" w:beforeLines="0" w:after="100" w:afterLines="0"/>
        <w:jc w:val="both"/>
        <w:rPr>
          <w:rFonts w:hint="eastAsia" w:ascii="仿宋_GB2312" w:hAnsi="仿宋_GB2312" w:eastAsia="仿宋_GB2312" w:cs="仿宋_GB2312"/>
          <w:sz w:val="32"/>
          <w:szCs w:val="32"/>
          <w:lang w:val="zh-CN"/>
        </w:rPr>
      </w:pPr>
    </w:p>
    <w:p w14:paraId="76882F5C">
      <w:pPr>
        <w:spacing w:before="100" w:beforeLines="0" w:after="100" w:afterLines="0"/>
        <w:jc w:val="center"/>
        <w:rPr>
          <w:rFonts w:hint="eastAsia" w:ascii="仿宋_GB2312" w:hAnsi="仿宋_GB2312" w:eastAsia="仿宋_GB2312" w:cs="仿宋_GB2312"/>
          <w:sz w:val="32"/>
          <w:szCs w:val="32"/>
          <w:lang w:val="zh-CN"/>
        </w:rPr>
      </w:pPr>
    </w:p>
    <w:p w14:paraId="521D0BF1">
      <w:pPr>
        <w:spacing w:before="100" w:beforeLines="0" w:after="100" w:afterLines="0"/>
        <w:jc w:val="center"/>
        <w:rPr>
          <w:rFonts w:hint="eastAsia" w:ascii="仿宋_GB2312" w:hAnsi="仿宋_GB2312" w:eastAsia="仿宋_GB2312" w:cs="仿宋_GB2312"/>
          <w:sz w:val="32"/>
          <w:szCs w:val="32"/>
          <w:lang w:val="zh-CN"/>
        </w:rPr>
      </w:pPr>
    </w:p>
    <w:p w14:paraId="54455BAC">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目录</w:t>
      </w:r>
    </w:p>
    <w:p w14:paraId="47DCD1A1">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32181887">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一、部门职责</w:t>
      </w:r>
    </w:p>
    <w:p w14:paraId="67A3F223">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二、机构设置</w:t>
      </w:r>
    </w:p>
    <w:p w14:paraId="34969E09">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第二部分2023年度部门决算表</w:t>
      </w:r>
    </w:p>
    <w:p w14:paraId="72858F3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一、收入支出决算总表</w:t>
      </w:r>
    </w:p>
    <w:p w14:paraId="431168B0">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二、收入决算表</w:t>
      </w:r>
    </w:p>
    <w:p w14:paraId="7010BB36">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三、支出决算表</w:t>
      </w:r>
    </w:p>
    <w:p w14:paraId="5C3DA22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四、财政拨款收入支出决算总表</w:t>
      </w:r>
    </w:p>
    <w:p w14:paraId="067489D9">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五、一般公共预算财政拨款支出决算表</w:t>
      </w:r>
    </w:p>
    <w:p w14:paraId="6823EB7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六、一般公共预算财政拨款基本支出决算明细表</w:t>
      </w:r>
    </w:p>
    <w:p w14:paraId="2D7CBD41">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七、政府性基金预算财政拨款收入支出决算表</w:t>
      </w:r>
    </w:p>
    <w:p w14:paraId="34FBA108">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八、国有资本经营预算财政拨款支出决算表</w:t>
      </w:r>
    </w:p>
    <w:p w14:paraId="57743F8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九、财政拨款“三公”经费支出决算表</w:t>
      </w:r>
    </w:p>
    <w:p w14:paraId="7EBF515B">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第三部分2023年度部门决算情况说明</w:t>
      </w:r>
    </w:p>
    <w:p w14:paraId="250F532A">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一、收入支出决算总体情况说明</w:t>
      </w:r>
    </w:p>
    <w:p w14:paraId="5AA3622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二、收入决算情况说明</w:t>
      </w:r>
    </w:p>
    <w:p w14:paraId="013D0CBE">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三、支出决算情况说明</w:t>
      </w:r>
    </w:p>
    <w:p w14:paraId="4413F9C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四、财政拨款收入支出决算总体情况说明</w:t>
      </w:r>
    </w:p>
    <w:p w14:paraId="67CC9AC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五、一般公共预算财政拨款支出决算情况说明</w:t>
      </w:r>
    </w:p>
    <w:p w14:paraId="2ED25E61">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六、一般公共预算财政拨款基本支出决算情况说明</w:t>
      </w:r>
    </w:p>
    <w:p w14:paraId="58AA1E7E">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七、政府性基金预算财政拨款收支决算情况说明</w:t>
      </w:r>
    </w:p>
    <w:p w14:paraId="3737DBF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八、国有资本经营预算财政拨款支出情况说明</w:t>
      </w:r>
    </w:p>
    <w:p w14:paraId="3D2E6FC2">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九、财政拨款“三公”经费支出决算情况说明</w:t>
      </w:r>
    </w:p>
    <w:p w14:paraId="21BA1715">
      <w:pPr>
        <w:spacing w:before="100" w:beforeLines="0" w:after="100" w:afterLines="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zh-CN"/>
        </w:rPr>
        <w:t>十、机关运行经费支出情况说明</w:t>
      </w:r>
    </w:p>
    <w:p w14:paraId="51872705">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十一、政府采购支出情况说明</w:t>
      </w:r>
    </w:p>
    <w:p w14:paraId="179B456B">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十二、国有资产占用情况说明</w:t>
      </w:r>
    </w:p>
    <w:p w14:paraId="319C1E01">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rPr>
        <w:t>十三、其他需要说明的情况</w:t>
      </w:r>
    </w:p>
    <w:p w14:paraId="7FE2E1FC">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第四部分预算绩效情况说明</w:t>
      </w:r>
    </w:p>
    <w:p w14:paraId="3BDCD164">
      <w:pPr>
        <w:spacing w:before="100" w:beforeLines="0" w:after="100" w:afterLines="0"/>
        <w:jc w:val="left"/>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第五部分名词解释</w:t>
      </w:r>
    </w:p>
    <w:p w14:paraId="02F2A9A3">
      <w:pPr>
        <w:spacing w:before="100" w:beforeLines="0" w:after="100" w:afterLines="0"/>
        <w:jc w:val="center"/>
        <w:rPr>
          <w:rFonts w:hint="eastAsia" w:ascii="仿宋_GB2312" w:hAnsi="仿宋_GB2312" w:eastAsia="仿宋_GB2312" w:cs="仿宋_GB2312"/>
          <w:sz w:val="32"/>
          <w:szCs w:val="32"/>
          <w:lang w:val="zh-CN"/>
        </w:rPr>
      </w:pPr>
    </w:p>
    <w:p w14:paraId="0A646E32">
      <w:pPr>
        <w:spacing w:before="100" w:beforeLines="0" w:after="100" w:afterLines="0"/>
        <w:jc w:val="center"/>
        <w:rPr>
          <w:rFonts w:hint="eastAsia" w:ascii="仿宋_GB2312" w:hAnsi="仿宋_GB2312" w:eastAsia="仿宋_GB2312" w:cs="仿宋_GB2312"/>
          <w:sz w:val="32"/>
          <w:szCs w:val="32"/>
          <w:lang w:val="zh-CN"/>
        </w:rPr>
      </w:pPr>
    </w:p>
    <w:p w14:paraId="76155AD9">
      <w:pPr>
        <w:spacing w:before="100" w:beforeLines="0" w:after="100" w:afterLines="0"/>
        <w:jc w:val="center"/>
        <w:rPr>
          <w:rFonts w:hint="eastAsia" w:ascii="仿宋_GB2312" w:hAnsi="仿宋_GB2312" w:eastAsia="仿宋_GB2312" w:cs="仿宋_GB2312"/>
          <w:sz w:val="32"/>
          <w:szCs w:val="32"/>
          <w:lang w:val="zh-CN"/>
        </w:rPr>
      </w:pPr>
    </w:p>
    <w:p w14:paraId="491C82C2">
      <w:pPr>
        <w:spacing w:before="100" w:beforeLines="0" w:after="100" w:afterLines="0"/>
        <w:jc w:val="center"/>
        <w:rPr>
          <w:rFonts w:hint="eastAsia" w:ascii="仿宋_GB2312" w:hAnsi="仿宋_GB2312" w:eastAsia="仿宋_GB2312" w:cs="仿宋_GB2312"/>
          <w:sz w:val="32"/>
          <w:szCs w:val="32"/>
          <w:lang w:val="zh-CN"/>
        </w:rPr>
      </w:pPr>
    </w:p>
    <w:p w14:paraId="2320C8DA">
      <w:pPr>
        <w:spacing w:before="100" w:beforeLines="0" w:after="100" w:afterLines="0"/>
        <w:jc w:val="center"/>
        <w:rPr>
          <w:rFonts w:hint="eastAsia" w:ascii="仿宋_GB2312" w:hAnsi="仿宋_GB2312" w:eastAsia="仿宋_GB2312" w:cs="仿宋_GB2312"/>
          <w:sz w:val="32"/>
          <w:szCs w:val="32"/>
          <w:lang w:val="zh-CN"/>
        </w:rPr>
      </w:pPr>
    </w:p>
    <w:p w14:paraId="49A72192">
      <w:pPr>
        <w:spacing w:before="100" w:beforeLines="0" w:after="100" w:afterLines="0"/>
        <w:jc w:val="both"/>
        <w:rPr>
          <w:rFonts w:hint="eastAsia" w:ascii="仿宋_GB2312" w:hAnsi="仿宋_GB2312" w:eastAsia="仿宋_GB2312" w:cs="仿宋_GB2312"/>
          <w:sz w:val="32"/>
          <w:szCs w:val="32"/>
          <w:lang w:val="zh-CN"/>
        </w:rPr>
      </w:pPr>
    </w:p>
    <w:p w14:paraId="39E8038B">
      <w:pPr>
        <w:spacing w:before="100" w:beforeLines="0" w:after="100" w:afterLines="0"/>
        <w:jc w:val="center"/>
        <w:rPr>
          <w:rFonts w:hint="eastAsia" w:ascii="仿宋_GB2312" w:hAnsi="仿宋_GB2312" w:eastAsia="仿宋_GB2312" w:cs="仿宋_GB2312"/>
          <w:sz w:val="32"/>
          <w:szCs w:val="32"/>
          <w:lang w:val="zh-CN"/>
        </w:rPr>
      </w:pPr>
      <w:r>
        <w:rPr>
          <w:rFonts w:hint="eastAsia" w:ascii="仿宋_GB2312" w:hAnsi="仿宋_GB2312" w:eastAsia="仿宋_GB2312" w:cs="仿宋_GB2312"/>
          <w:b/>
          <w:sz w:val="32"/>
          <w:szCs w:val="32"/>
          <w:lang w:val="zh-CN"/>
        </w:rPr>
        <w:t>第一部分部门概况</w:t>
      </w:r>
    </w:p>
    <w:p w14:paraId="43A51539">
      <w:pPr>
        <w:spacing w:before="100" w:beforeLines="0" w:after="100" w:afterLines="0"/>
        <w:jc w:val="left"/>
        <w:rPr>
          <w:rFonts w:hint="eastAsia" w:ascii="黑体" w:hAnsi="黑体" w:eastAsia="黑体" w:cs="黑体"/>
          <w:sz w:val="32"/>
          <w:szCs w:val="32"/>
          <w:lang w:val="zh-CN"/>
        </w:rPr>
      </w:pPr>
      <w:r>
        <w:rPr>
          <w:rFonts w:hint="eastAsia" w:ascii="黑体" w:hAnsi="黑体" w:eastAsia="黑体" w:cs="黑体"/>
          <w:sz w:val="32"/>
          <w:szCs w:val="32"/>
          <w:lang w:val="zh-CN"/>
        </w:rPr>
        <w:t>一、部门职责</w:t>
      </w:r>
    </w:p>
    <w:p w14:paraId="178A9E77">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华池县柔远幼儿园是属全额拨款事业单位，隶属于华池县教育局下属二级单位，主要负责本辖区内及周边附近适龄儿童保育保教活动。主要职责是:</w:t>
      </w:r>
    </w:p>
    <w:p w14:paraId="4AE61352">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1.研究拟定全校教育发展战略法，贯彻执行党和国家的教育方针、政策、法规。</w:t>
      </w:r>
    </w:p>
    <w:p w14:paraId="081CD3BA">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2.研究拟定学校发展规划和年度计划，组织实施教育体制和办学体制改革。</w:t>
      </w:r>
    </w:p>
    <w:p w14:paraId="244BB936">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3.管理和指导学校基础教育工作；确保学前教育工作成果。</w:t>
      </w:r>
    </w:p>
    <w:p w14:paraId="41D893E2">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4.管理学校教育经费；管理学校教育经费，执行财务管理制度。</w:t>
      </w:r>
    </w:p>
    <w:p w14:paraId="123E32DA">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5.负责和指导学校教职工的思想政治工作，规划学校品德教育、体育卫生教育、艺术教育和国防教育工作；负责做好社会治安综合治理及安全保卫工作。</w:t>
      </w:r>
    </w:p>
    <w:p w14:paraId="529CDFD0">
      <w:pPr>
        <w:spacing w:before="100" w:beforeLines="0" w:after="100" w:afterLines="0"/>
        <w:jc w:val="left"/>
        <w:rPr>
          <w:rFonts w:hint="eastAsia" w:ascii="黑体" w:hAnsi="黑体" w:eastAsia="黑体" w:cs="黑体"/>
          <w:color w:val="auto"/>
          <w:sz w:val="32"/>
          <w:szCs w:val="32"/>
          <w:lang w:val="zh-CN"/>
        </w:rPr>
      </w:pPr>
      <w:r>
        <w:rPr>
          <w:rFonts w:hint="eastAsia" w:ascii="黑体" w:hAnsi="黑体" w:eastAsia="黑体" w:cs="黑体"/>
          <w:color w:val="auto"/>
          <w:sz w:val="32"/>
          <w:szCs w:val="32"/>
          <w:lang w:val="zh-CN"/>
        </w:rPr>
        <w:t>二、机构设置</w:t>
      </w:r>
    </w:p>
    <w:p w14:paraId="23D97D6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0"/>
        <w:jc w:val="left"/>
        <w:rPr>
          <w:rFonts w:hint="eastAsia" w:ascii="仿宋_GB2312" w:hAnsi="仿宋_GB2312" w:eastAsia="仿宋_GB2312" w:cs="仿宋_GB2312"/>
          <w:b/>
          <w:bCs/>
          <w:i w:val="0"/>
          <w:iCs w:val="0"/>
          <w:caps w:val="0"/>
          <w:color w:val="333333"/>
          <w:spacing w:val="0"/>
          <w:sz w:val="32"/>
          <w:szCs w:val="32"/>
        </w:rPr>
      </w:pPr>
      <w:r>
        <w:rPr>
          <w:rFonts w:hint="eastAsia" w:ascii="仿宋_GB2312" w:hAnsi="仿宋_GB2312" w:eastAsia="仿宋_GB2312" w:cs="仿宋_GB2312"/>
          <w:b/>
          <w:bCs/>
          <w:i w:val="0"/>
          <w:iCs w:val="0"/>
          <w:caps w:val="0"/>
          <w:color w:val="333333"/>
          <w:spacing w:val="0"/>
          <w:sz w:val="32"/>
          <w:szCs w:val="32"/>
          <w:shd w:val="clear" w:fill="FFFFFF"/>
        </w:rPr>
        <w:t>（1）机关内设机构</w:t>
      </w:r>
    </w:p>
    <w:p w14:paraId="135ECAB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640" w:firstLineChars="200"/>
        <w:jc w:val="left"/>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华池县柔远幼儿园内设六个职能股室,包括:会议室、园务室、财务室、教学班、舞蹈室、美工室。</w:t>
      </w:r>
    </w:p>
    <w:p w14:paraId="2B2D97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0"/>
        <w:jc w:val="left"/>
        <w:rPr>
          <w:rFonts w:hint="eastAsia" w:ascii="仿宋_GB2312" w:hAnsi="仿宋_GB2312" w:eastAsia="仿宋_GB2312" w:cs="仿宋_GB2312"/>
          <w:b/>
          <w:bCs/>
          <w:i w:val="0"/>
          <w:iCs w:val="0"/>
          <w:caps w:val="0"/>
          <w:color w:val="333333"/>
          <w:spacing w:val="0"/>
          <w:sz w:val="32"/>
          <w:szCs w:val="32"/>
        </w:rPr>
      </w:pPr>
      <w:r>
        <w:rPr>
          <w:rFonts w:hint="eastAsia" w:ascii="仿宋_GB2312" w:hAnsi="仿宋_GB2312" w:eastAsia="仿宋_GB2312" w:cs="仿宋_GB2312"/>
          <w:b/>
          <w:bCs/>
          <w:i w:val="0"/>
          <w:iCs w:val="0"/>
          <w:caps w:val="0"/>
          <w:color w:val="333333"/>
          <w:spacing w:val="0"/>
          <w:sz w:val="32"/>
          <w:szCs w:val="32"/>
          <w:shd w:val="clear" w:fill="FFFFFF"/>
        </w:rPr>
        <w:t>（2）人员情况</w:t>
      </w:r>
    </w:p>
    <w:p w14:paraId="1A9A40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640" w:firstLineChars="200"/>
        <w:jc w:val="left"/>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202</w:t>
      </w: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年度，我单位共有编制16名，其中：行政编制0名，参公事业编制0名，事业编制16名，后勤编制0名。财政供养总人数3</w:t>
      </w:r>
      <w:r>
        <w:rPr>
          <w:rFonts w:hint="eastAsia" w:ascii="仿宋_GB2312" w:hAnsi="仿宋_GB2312" w:eastAsia="仿宋_GB2312" w:cs="仿宋_GB2312"/>
          <w:i w:val="0"/>
          <w:iCs w:val="0"/>
          <w:caps w:val="0"/>
          <w:color w:val="333333"/>
          <w:spacing w:val="0"/>
          <w:sz w:val="32"/>
          <w:szCs w:val="32"/>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人，其中：在职人员3</w:t>
      </w:r>
      <w:r>
        <w:rPr>
          <w:rFonts w:hint="eastAsia" w:ascii="仿宋_GB2312" w:hAnsi="仿宋_GB2312" w:eastAsia="仿宋_GB2312" w:cs="仿宋_GB2312"/>
          <w:i w:val="0"/>
          <w:iCs w:val="0"/>
          <w:caps w:val="0"/>
          <w:color w:val="333333"/>
          <w:spacing w:val="0"/>
          <w:sz w:val="32"/>
          <w:szCs w:val="32"/>
          <w:shd w:val="clear" w:fill="FFFFFF"/>
          <w:lang w:val="en-US" w:eastAsia="zh-CN"/>
        </w:rPr>
        <w:t>4</w:t>
      </w:r>
      <w:r>
        <w:rPr>
          <w:rFonts w:hint="eastAsia" w:ascii="仿宋_GB2312" w:hAnsi="仿宋_GB2312" w:eastAsia="仿宋_GB2312" w:cs="仿宋_GB2312"/>
          <w:i w:val="0"/>
          <w:iCs w:val="0"/>
          <w:caps w:val="0"/>
          <w:color w:val="333333"/>
          <w:spacing w:val="0"/>
          <w:sz w:val="32"/>
          <w:szCs w:val="32"/>
          <w:shd w:val="clear" w:fill="FFFFFF"/>
        </w:rPr>
        <w:t>人，雇佣人员0人，离退休0人，遗属0人。</w:t>
      </w:r>
    </w:p>
    <w:p w14:paraId="01F17B09">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第二部分2023年度部门决算表</w:t>
      </w:r>
    </w:p>
    <w:p w14:paraId="45D56243">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一、收入支出决算总表</w:t>
      </w:r>
    </w:p>
    <w:p w14:paraId="3927D3AF">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二、收入决算表</w:t>
      </w:r>
    </w:p>
    <w:p w14:paraId="672250D6">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三、支出决算表</w:t>
      </w:r>
    </w:p>
    <w:p w14:paraId="48CE29B9">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四、财政拨款收入支出决算总表</w:t>
      </w:r>
    </w:p>
    <w:p w14:paraId="0C00E1D5">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五、一般公共预算财政拨款支出决算表</w:t>
      </w:r>
    </w:p>
    <w:p w14:paraId="7651F1D7">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六、一般公共预算财政拨款基本支出决算明细表</w:t>
      </w:r>
    </w:p>
    <w:p w14:paraId="7A48042C">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七、政府性基金预算财政拨款收入支出决算表</w:t>
      </w:r>
    </w:p>
    <w:p w14:paraId="1C220236">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八、国有资本经营预算财政拨款支出决算表</w:t>
      </w:r>
    </w:p>
    <w:p w14:paraId="6C5212F8">
      <w:pPr>
        <w:spacing w:before="100" w:beforeLines="0" w:after="100" w:afterLines="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九、财政拨款“三公”经费支出决算表</w:t>
      </w:r>
    </w:p>
    <w:p w14:paraId="6E64D653">
      <w:pPr>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b/>
          <w:color w:val="000000" w:themeColor="text1"/>
          <w:sz w:val="32"/>
          <w:szCs w:val="32"/>
          <w:lang w:val="zh-CN"/>
          <w14:textFill>
            <w14:solidFill>
              <w14:schemeClr w14:val="tx1"/>
            </w14:solidFill>
          </w14:textFill>
        </w:rPr>
        <w:t>2023年度部门决算表</w:t>
      </w: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附后</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14:paraId="3E2A66F6">
      <w:pPr>
        <w:spacing w:before="100" w:beforeLines="0" w:after="100" w:afterLines="0"/>
        <w:jc w:val="both"/>
        <w:rPr>
          <w:rFonts w:hint="eastAsia" w:ascii="仿宋_GB2312" w:hAnsi="仿宋_GB2312" w:eastAsia="仿宋_GB2312" w:cs="仿宋_GB2312"/>
          <w:b/>
          <w:color w:val="auto"/>
          <w:sz w:val="32"/>
          <w:szCs w:val="32"/>
          <w:lang w:val="zh-CN"/>
        </w:rPr>
      </w:pPr>
    </w:p>
    <w:p w14:paraId="61705642">
      <w:pPr>
        <w:spacing w:before="100" w:beforeLines="0" w:after="100" w:afterLines="0"/>
        <w:jc w:val="center"/>
        <w:rPr>
          <w:rFonts w:hint="eastAsia" w:ascii="仿宋_GB2312" w:hAnsi="仿宋_GB2312" w:eastAsia="仿宋_GB2312" w:cs="仿宋_GB2312"/>
          <w:b/>
          <w:color w:val="auto"/>
          <w:sz w:val="32"/>
          <w:szCs w:val="32"/>
          <w:lang w:val="zh-CN"/>
        </w:rPr>
      </w:pPr>
    </w:p>
    <w:p w14:paraId="6249FA99">
      <w:pPr>
        <w:spacing w:before="100" w:beforeLines="0" w:after="100" w:afterLines="0"/>
        <w:jc w:val="center"/>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b/>
          <w:color w:val="auto"/>
          <w:sz w:val="32"/>
          <w:szCs w:val="32"/>
          <w:lang w:val="zh-CN"/>
        </w:rPr>
        <w:t>第三部分2023年度部门决算情况说明</w:t>
      </w:r>
    </w:p>
    <w:p w14:paraId="75C0D6AD">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一、</w:t>
      </w:r>
      <w:r>
        <w:rPr>
          <w:rFonts w:hint="eastAsia" w:ascii="黑体" w:hAnsi="黑体" w:eastAsia="黑体" w:cs="黑体"/>
          <w:b/>
          <w:bCs/>
          <w:color w:val="auto"/>
          <w:sz w:val="32"/>
          <w:szCs w:val="32"/>
          <w:lang w:val="zh-CN" w:eastAsia="zh-CN"/>
        </w:rPr>
        <w:t>收入支出决算总体情况说明</w:t>
      </w:r>
    </w:p>
    <w:p w14:paraId="3CD5A2A0">
      <w:pPr>
        <w:numPr>
          <w:ilvl w:val="0"/>
          <w:numId w:val="0"/>
        </w:numPr>
        <w:spacing w:before="100" w:beforeLines="0" w:after="100" w:afterLines="0"/>
        <w:ind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2023年度收、支总计</w:t>
      </w:r>
      <w:r>
        <w:rPr>
          <w:rFonts w:hint="eastAsia" w:ascii="仿宋_GB2312" w:hAnsi="仿宋_GB2312" w:eastAsia="仿宋_GB2312" w:cs="仿宋_GB2312"/>
          <w:color w:val="auto"/>
          <w:sz w:val="32"/>
          <w:szCs w:val="32"/>
          <w:lang w:val="en-US"/>
        </w:rPr>
        <w:t>均为</w:t>
      </w:r>
      <w:r>
        <w:rPr>
          <w:rFonts w:hint="eastAsia" w:ascii="仿宋_GB2312" w:hAnsi="仿宋_GB2312" w:eastAsia="仿宋_GB2312" w:cs="仿宋_GB2312"/>
          <w:color w:val="auto"/>
          <w:sz w:val="32"/>
          <w:szCs w:val="32"/>
          <w:lang w:val="zh-CN"/>
        </w:rPr>
        <w:t>513.27万元。</w:t>
      </w:r>
      <w:r>
        <w:rPr>
          <w:rFonts w:hint="eastAsia" w:ascii="仿宋_GB2312" w:hAnsi="仿宋_GB2312" w:eastAsia="仿宋_GB2312" w:cs="仿宋_GB2312"/>
          <w:color w:val="auto"/>
          <w:sz w:val="32"/>
          <w:szCs w:val="32"/>
          <w:lang w:val="en-US"/>
        </w:rPr>
        <w:t>与上年度相比,</w:t>
      </w:r>
      <w:r>
        <w:rPr>
          <w:rFonts w:hint="eastAsia" w:ascii="仿宋_GB2312" w:hAnsi="仿宋_GB2312" w:eastAsia="仿宋_GB2312" w:cs="仿宋_GB2312"/>
          <w:color w:val="auto"/>
          <w:sz w:val="32"/>
          <w:szCs w:val="32"/>
          <w:lang w:val="zh-CN"/>
        </w:rPr>
        <w:t>收、支</w:t>
      </w:r>
      <w:r>
        <w:rPr>
          <w:rFonts w:hint="eastAsia" w:ascii="仿宋_GB2312" w:hAnsi="仿宋_GB2312" w:eastAsia="仿宋_GB2312" w:cs="仿宋_GB2312"/>
          <w:color w:val="auto"/>
          <w:sz w:val="32"/>
          <w:szCs w:val="32"/>
          <w:lang w:val="en-US"/>
        </w:rPr>
        <w:t>总计各</w:t>
      </w:r>
      <w:r>
        <w:rPr>
          <w:rFonts w:hint="eastAsia" w:ascii="仿宋_GB2312" w:hAnsi="仿宋_GB2312" w:eastAsia="仿宋_GB2312" w:cs="仿宋_GB2312"/>
          <w:color w:val="auto"/>
          <w:sz w:val="32"/>
          <w:szCs w:val="32"/>
          <w:lang w:val="zh-CN"/>
        </w:rPr>
        <w:t>减少52.86万元,下降9.34%,主要原因是：</w:t>
      </w:r>
      <w:r>
        <w:rPr>
          <w:rFonts w:hint="eastAsia" w:ascii="仿宋_GB2312" w:hAnsi="仿宋_GB2312" w:eastAsia="仿宋_GB2312" w:cs="仿宋_GB2312"/>
          <w:color w:val="auto"/>
          <w:sz w:val="32"/>
          <w:szCs w:val="32"/>
          <w:lang w:val="en-US" w:eastAsia="zh-CN"/>
        </w:rPr>
        <w:t>教职工学生数减少</w:t>
      </w:r>
      <w:r>
        <w:rPr>
          <w:rFonts w:hint="eastAsia" w:ascii="仿宋_GB2312" w:hAnsi="仿宋_GB2312" w:eastAsia="仿宋_GB2312" w:cs="仿宋_GB2312"/>
          <w:color w:val="auto"/>
          <w:sz w:val="32"/>
          <w:szCs w:val="32"/>
          <w:lang w:val="zh-CN"/>
        </w:rPr>
        <w:t>。</w:t>
      </w:r>
    </w:p>
    <w:p w14:paraId="15DA477C">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二、收入决算情况说明</w:t>
      </w:r>
    </w:p>
    <w:p w14:paraId="55230D12">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2023年度收入合计513.27万元,其中：财政拨款收入513.27万元,占100.00%；</w:t>
      </w:r>
      <w:r>
        <w:rPr>
          <w:rFonts w:hint="eastAsia" w:ascii="仿宋_GB2312" w:hAnsi="仿宋_GB2312" w:eastAsia="仿宋_GB2312" w:cs="仿宋_GB2312"/>
          <w:color w:val="auto"/>
          <w:sz w:val="32"/>
          <w:szCs w:val="32"/>
          <w:lang w:val="en-US"/>
        </w:rPr>
        <w:t>上级补助</w:t>
      </w:r>
      <w:r>
        <w:rPr>
          <w:rFonts w:hint="eastAsia" w:ascii="仿宋_GB2312" w:hAnsi="仿宋_GB2312" w:eastAsia="仿宋_GB2312" w:cs="仿宋_GB2312"/>
          <w:color w:val="auto"/>
          <w:sz w:val="32"/>
          <w:szCs w:val="32"/>
          <w:lang w:val="zh-CN"/>
        </w:rPr>
        <w:t>收入0.00万元,占0.00%；</w:t>
      </w:r>
      <w:r>
        <w:rPr>
          <w:rFonts w:hint="eastAsia" w:ascii="仿宋_GB2312" w:hAnsi="仿宋_GB2312" w:eastAsia="仿宋_GB2312" w:cs="仿宋_GB2312"/>
          <w:color w:val="auto"/>
          <w:sz w:val="32"/>
          <w:szCs w:val="32"/>
          <w:lang w:val="en-US"/>
        </w:rPr>
        <w:t>事业</w:t>
      </w:r>
      <w:r>
        <w:rPr>
          <w:rFonts w:hint="eastAsia" w:ascii="仿宋_GB2312" w:hAnsi="仿宋_GB2312" w:eastAsia="仿宋_GB2312" w:cs="仿宋_GB2312"/>
          <w:color w:val="auto"/>
          <w:sz w:val="32"/>
          <w:szCs w:val="32"/>
          <w:lang w:val="zh-CN"/>
        </w:rPr>
        <w:t>收入0.00万元,占0.00%；</w:t>
      </w:r>
      <w:r>
        <w:rPr>
          <w:rFonts w:hint="eastAsia" w:ascii="仿宋_GB2312" w:hAnsi="仿宋_GB2312" w:eastAsia="仿宋_GB2312" w:cs="仿宋_GB2312"/>
          <w:color w:val="auto"/>
          <w:sz w:val="32"/>
          <w:szCs w:val="32"/>
          <w:lang w:val="en-US"/>
        </w:rPr>
        <w:t>经营</w:t>
      </w:r>
      <w:r>
        <w:rPr>
          <w:rFonts w:hint="eastAsia" w:ascii="仿宋_GB2312" w:hAnsi="仿宋_GB2312" w:eastAsia="仿宋_GB2312" w:cs="仿宋_GB2312"/>
          <w:color w:val="auto"/>
          <w:sz w:val="32"/>
          <w:szCs w:val="32"/>
          <w:lang w:val="zh-CN"/>
        </w:rPr>
        <w:t>收入0.00万元,占0.00%；</w:t>
      </w:r>
      <w:r>
        <w:rPr>
          <w:rFonts w:hint="eastAsia" w:ascii="仿宋_GB2312" w:hAnsi="仿宋_GB2312" w:eastAsia="仿宋_GB2312" w:cs="仿宋_GB2312"/>
          <w:color w:val="auto"/>
          <w:sz w:val="32"/>
          <w:szCs w:val="32"/>
          <w:lang w:val="en-US"/>
        </w:rPr>
        <w:t>附属单位上缴</w:t>
      </w:r>
      <w:r>
        <w:rPr>
          <w:rFonts w:hint="eastAsia" w:ascii="仿宋_GB2312" w:hAnsi="仿宋_GB2312" w:eastAsia="仿宋_GB2312" w:cs="仿宋_GB2312"/>
          <w:color w:val="auto"/>
          <w:sz w:val="32"/>
          <w:szCs w:val="32"/>
          <w:lang w:val="zh-CN"/>
        </w:rPr>
        <w:t>收入0.00万元,占0.00%；</w:t>
      </w:r>
      <w:r>
        <w:rPr>
          <w:rFonts w:hint="eastAsia" w:ascii="仿宋_GB2312" w:hAnsi="仿宋_GB2312" w:eastAsia="仿宋_GB2312" w:cs="仿宋_GB2312"/>
          <w:color w:val="auto"/>
          <w:sz w:val="32"/>
          <w:szCs w:val="32"/>
          <w:lang w:val="en-US"/>
        </w:rPr>
        <w:t>其他</w:t>
      </w:r>
      <w:r>
        <w:rPr>
          <w:rFonts w:hint="eastAsia" w:ascii="仿宋_GB2312" w:hAnsi="仿宋_GB2312" w:eastAsia="仿宋_GB2312" w:cs="仿宋_GB2312"/>
          <w:color w:val="auto"/>
          <w:sz w:val="32"/>
          <w:szCs w:val="32"/>
          <w:lang w:val="zh-CN"/>
        </w:rPr>
        <w:t>收入0.00万元,占0.00%；</w:t>
      </w:r>
    </w:p>
    <w:p w14:paraId="36906555">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三、支出决算情况说明</w:t>
      </w:r>
    </w:p>
    <w:p w14:paraId="3C307A6E">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2023年度支出合计513.27万元,其中：基本支出513.27万元,占100.00%；项目支出0.00万元,占0.00%；上缴上级支出0.00万元,占0.00%；经营支出0.00万元,占0.00%；对附属单位补助支出0.00万元,占0.00%。</w:t>
      </w:r>
    </w:p>
    <w:p w14:paraId="79D2F531">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四、财政拨款收入支出决算总体情况说明</w:t>
      </w:r>
    </w:p>
    <w:p w14:paraId="7524645C">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w:t>
      </w:r>
      <w:r>
        <w:rPr>
          <w:rFonts w:hint="eastAsia" w:ascii="仿宋_GB2312" w:hAnsi="仿宋_GB2312" w:eastAsia="仿宋_GB2312" w:cs="仿宋_GB2312"/>
          <w:color w:val="000000" w:themeColor="text1"/>
          <w:sz w:val="32"/>
          <w:szCs w:val="32"/>
          <w:lang w:val="zh-CN"/>
          <w14:textFill>
            <w14:solidFill>
              <w14:schemeClr w14:val="tx1"/>
            </w14:solidFill>
          </w14:textFill>
        </w:rPr>
        <w:t>年度财政拨款收、支总计</w:t>
      </w:r>
      <w:r>
        <w:rPr>
          <w:rFonts w:hint="eastAsia" w:ascii="仿宋_GB2312" w:hAnsi="仿宋_GB2312" w:eastAsia="仿宋_GB2312" w:cs="仿宋_GB2312"/>
          <w:color w:val="000000" w:themeColor="text1"/>
          <w:sz w:val="32"/>
          <w:szCs w:val="32"/>
          <w:lang w:val="en-US"/>
          <w14:textFill>
            <w14:solidFill>
              <w14:schemeClr w14:val="tx1"/>
            </w14:solidFill>
          </w14:textFill>
        </w:rPr>
        <w:t>均为</w:t>
      </w:r>
      <w:r>
        <w:rPr>
          <w:rFonts w:hint="eastAsia" w:ascii="仿宋_GB2312" w:hAnsi="仿宋_GB2312" w:eastAsia="仿宋_GB2312" w:cs="仿宋_GB2312"/>
          <w:color w:val="000000" w:themeColor="text1"/>
          <w:sz w:val="32"/>
          <w:szCs w:val="32"/>
          <w:lang w:val="zh-CN"/>
          <w14:textFill>
            <w14:solidFill>
              <w14:schemeClr w14:val="tx1"/>
            </w14:solidFill>
          </w14:textFill>
        </w:rPr>
        <w:t>513.27万元。与</w:t>
      </w:r>
      <w:r>
        <w:rPr>
          <w:rFonts w:hint="eastAsia" w:ascii="仿宋_GB2312" w:hAnsi="仿宋_GB2312" w:eastAsia="仿宋_GB2312" w:cs="仿宋_GB2312"/>
          <w:color w:val="000000" w:themeColor="text1"/>
          <w:sz w:val="32"/>
          <w:szCs w:val="32"/>
          <w:lang w:val="en-US"/>
          <w14:textFill>
            <w14:solidFill>
              <w14:schemeClr w14:val="tx1"/>
            </w14:solidFill>
          </w14:textFill>
        </w:rPr>
        <w:t>上</w:t>
      </w:r>
      <w:r>
        <w:rPr>
          <w:rFonts w:hint="eastAsia" w:ascii="仿宋_GB2312" w:hAnsi="仿宋_GB2312" w:eastAsia="仿宋_GB2312" w:cs="仿宋_GB2312"/>
          <w:color w:val="000000" w:themeColor="text1"/>
          <w:sz w:val="32"/>
          <w:szCs w:val="32"/>
          <w:lang w:val="zh-CN"/>
          <w14:textFill>
            <w14:solidFill>
              <w14:schemeClr w14:val="tx1"/>
            </w14:solidFill>
          </w14:textFill>
        </w:rPr>
        <w:t>年相比,各减少52.86万元,下降9.34%。主要原因是：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教职工学生数减少</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14:paraId="5592EA91">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五、一般公共预算财政拨款支出决算情况说明</w:t>
      </w:r>
    </w:p>
    <w:p w14:paraId="5CE0C9F5">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（一）一般公共预算财政拨款支出决算总体情况</w:t>
      </w:r>
    </w:p>
    <w:p w14:paraId="79E84E97">
      <w:pPr>
        <w:spacing w:before="100" w:beforeLines="0" w:after="100" w:afterLines="0"/>
        <w:ind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auto"/>
          <w:sz w:val="32"/>
          <w:szCs w:val="32"/>
          <w:lang w:val="zh-CN"/>
        </w:rPr>
        <w:t>2023年度一般公共预算财政拨款支出513.27万元,较上年决算数增加139.92万元,增长37.48%，</w:t>
      </w:r>
      <w:r>
        <w:rPr>
          <w:rFonts w:hint="eastAsia" w:ascii="仿宋_GB2312" w:hAnsi="仿宋_GB2312" w:eastAsia="仿宋_GB2312" w:cs="仿宋_GB2312"/>
          <w:color w:val="auto"/>
          <w:sz w:val="32"/>
          <w:szCs w:val="32"/>
          <w:lang w:val="en-US" w:eastAsia="zh-CN"/>
        </w:rPr>
        <w:t>支出有2022年经费</w:t>
      </w:r>
      <w:r>
        <w:rPr>
          <w:rFonts w:hint="eastAsia" w:ascii="仿宋_GB2312" w:hAnsi="仿宋_GB2312" w:eastAsia="仿宋_GB2312" w:cs="仿宋_GB2312"/>
          <w:color w:val="auto"/>
          <w:sz w:val="32"/>
          <w:szCs w:val="32"/>
          <w:lang w:val="zh-CN"/>
        </w:rPr>
        <w:t>。</w:t>
      </w:r>
    </w:p>
    <w:p w14:paraId="64880258">
      <w:pPr>
        <w:numPr>
          <w:ilvl w:val="0"/>
          <w:numId w:val="0"/>
        </w:numPr>
        <w:spacing w:before="100" w:beforeLines="0" w:after="100" w:afterLines="0"/>
        <w:ind w:firstLine="640"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二</w:t>
      </w: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）一般公共预算财政拨款支出决算结构情况</w:t>
      </w:r>
    </w:p>
    <w:p w14:paraId="275A953F">
      <w:pPr>
        <w:numPr>
          <w:ilvl w:val="0"/>
          <w:numId w:val="0"/>
        </w:numPr>
        <w:spacing w:before="100" w:beforeLines="0" w:after="100" w:afterLines="0"/>
        <w:ind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w:t>
      </w:r>
      <w:r>
        <w:rPr>
          <w:rFonts w:hint="eastAsia" w:ascii="仿宋_GB2312" w:hAnsi="仿宋_GB2312" w:eastAsia="仿宋_GB2312" w:cs="仿宋_GB2312"/>
          <w:color w:val="auto"/>
          <w:sz w:val="32"/>
          <w:szCs w:val="32"/>
          <w:lang w:val="zh-CN"/>
        </w:rPr>
        <w:t>513.27万元，主要用于以下方面：一般公共服务支出0.00万元,占0.0%；外交支出0.00万元,占0.0%；国防支出0.00万元,占0.0%；公共安全支出0.00万元,占0.0%；教育支出464.01万元,占90.4%；科学技术支出0.00万元，占0.0%；文化旅游体育与传媒支出0.00万元，占0.0%；社会保障和就业支出22.42万元,占4.37%；卫生健康支出26.85万元,占5.23%；节能环保支出0.00万元</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lang w:val="zh-CN"/>
        </w:rPr>
        <w:t>占0.0%；城乡社区支出0.00万元,占0.0%；农林水支出0.00万元,占0.0%；交通运输支出0.00万元,占0.0%；资源勘探工业信息等支出0.00万元，占0.0%；商业服务业等支出0.00万元,占0.0%；金融支出0.00万元,占0.0%；自然资源海洋气象等支出0.00万元,占0.0%；住房保障支出0.00万元,占0.0%；粮油物资储备支出0.00万元,占0.0%；灾害防治及应急管理支出0.00万元,占0.0%；其他支出0.00万元,占0.0%；债务还本支出0.00万元,占0.0%；债务付息支出0.00万元,占0.0%；抗疫特别国债安排的支出0.00万元,占0.0%。</w:t>
      </w:r>
    </w:p>
    <w:p w14:paraId="41086F4A">
      <w:pPr>
        <w:numPr>
          <w:ilvl w:val="0"/>
          <w:numId w:val="0"/>
        </w:numPr>
        <w:spacing w:before="100" w:beforeLines="0" w:after="100" w:afterLines="0"/>
        <w:ind w:leftChars="0" w:firstLine="640"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color w:val="000000" w:themeColor="text1"/>
          <w:sz w:val="32"/>
          <w:szCs w:val="32"/>
          <w:lang w:val="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三</w:t>
      </w:r>
      <w:r>
        <w:rPr>
          <w:rFonts w:hint="eastAsia" w:ascii="仿宋_GB2312" w:hAnsi="仿宋_GB2312" w:eastAsia="仿宋_GB2312" w:cs="仿宋_GB2312"/>
          <w:color w:val="000000" w:themeColor="text1"/>
          <w:sz w:val="32"/>
          <w:szCs w:val="32"/>
          <w:lang w:val="zh-CN"/>
          <w14:textFill>
            <w14:solidFill>
              <w14:schemeClr w14:val="tx1"/>
            </w14:solidFill>
          </w14:textFill>
        </w:rPr>
        <w:t>）一般公共预算财政拨款支出决算具体情况。</w:t>
      </w:r>
    </w:p>
    <w:p w14:paraId="36C86D88">
      <w:pPr>
        <w:numPr>
          <w:ilvl w:val="0"/>
          <w:numId w:val="0"/>
        </w:numPr>
        <w:spacing w:before="100" w:beforeLines="0" w:after="100" w:afterLines="0"/>
        <w:ind w:leftChars="0"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2023年度一般公共预算财政拨款支出年初预算为</w:t>
      </w:r>
      <w:r>
        <w:rPr>
          <w:rFonts w:hint="eastAsia" w:ascii="仿宋_GB2312" w:hAnsi="仿宋_GB2312" w:eastAsia="仿宋_GB2312" w:cs="仿宋_GB2312"/>
          <w:color w:val="auto"/>
          <w:sz w:val="32"/>
          <w:szCs w:val="32"/>
          <w:lang w:val="zh-CN"/>
        </w:rPr>
        <w:t>438.55万元,支出决算为513.27万元,完成年初预算的117.04%。其中：</w:t>
      </w:r>
    </w:p>
    <w:p w14:paraId="29E7401B">
      <w:pPr>
        <w:spacing w:before="100" w:beforeLines="0" w:after="100" w:afterLines="0"/>
        <w:ind w:firstLine="643"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auto"/>
          <w:sz w:val="32"/>
          <w:szCs w:val="32"/>
          <w:lang w:val="en-US" w:eastAsia="zh-CN"/>
        </w:rPr>
        <w:t>1</w:t>
      </w:r>
      <w:r>
        <w:rPr>
          <w:rFonts w:hint="eastAsia" w:ascii="仿宋_GB2312" w:hAnsi="仿宋_GB2312" w:eastAsia="仿宋_GB2312" w:cs="仿宋_GB2312"/>
          <w:b/>
          <w:color w:val="auto"/>
          <w:sz w:val="32"/>
          <w:szCs w:val="32"/>
          <w:lang w:val="zh-CN"/>
        </w:rPr>
        <w:t>．教育支出</w:t>
      </w:r>
      <w:r>
        <w:rPr>
          <w:rFonts w:hint="eastAsia" w:ascii="仿宋_GB2312" w:hAnsi="仿宋_GB2312" w:eastAsia="仿宋_GB2312" w:cs="仿宋_GB2312"/>
          <w:color w:val="auto"/>
          <w:sz w:val="32"/>
          <w:szCs w:val="32"/>
          <w:lang w:val="zh-CN"/>
        </w:rPr>
        <w:t>年初预算数为366.51万元,支出决算为464.01</w:t>
      </w:r>
      <w:r>
        <w:rPr>
          <w:rFonts w:hint="eastAsia" w:ascii="仿宋_GB2312" w:hAnsi="仿宋_GB2312" w:eastAsia="仿宋_GB2312" w:cs="仿宋_GB2312"/>
          <w:color w:val="000000" w:themeColor="text1"/>
          <w:sz w:val="32"/>
          <w:szCs w:val="32"/>
          <w:lang w:val="zh-CN"/>
          <w14:textFill>
            <w14:solidFill>
              <w14:schemeClr w14:val="tx1"/>
            </w14:solidFill>
          </w14:textFill>
        </w:rPr>
        <w:t>万元,完成年初预算的126.6%,决算数大于预算数的主要原因是：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资金支付含有2022年经费。</w:t>
      </w:r>
    </w:p>
    <w:p w14:paraId="0E167288">
      <w:pPr>
        <w:spacing w:before="100" w:beforeLines="0" w:after="100" w:afterLines="0"/>
        <w:ind w:firstLine="643"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2</w:t>
      </w:r>
      <w:r>
        <w:rPr>
          <w:rFonts w:hint="eastAsia" w:ascii="仿宋_GB2312" w:hAnsi="仿宋_GB2312" w:eastAsia="仿宋_GB2312" w:cs="仿宋_GB2312"/>
          <w:b/>
          <w:color w:val="000000" w:themeColor="text1"/>
          <w:sz w:val="32"/>
          <w:szCs w:val="32"/>
          <w:lang w:val="zh-CN"/>
          <w14:textFill>
            <w14:solidFill>
              <w14:schemeClr w14:val="tx1"/>
            </w14:solidFill>
          </w14:textFill>
        </w:rPr>
        <w:t>．社会保障和就业支出</w:t>
      </w:r>
      <w:r>
        <w:rPr>
          <w:rFonts w:hint="eastAsia" w:ascii="仿宋_GB2312" w:hAnsi="仿宋_GB2312" w:eastAsia="仿宋_GB2312" w:cs="仿宋_GB2312"/>
          <w:color w:val="000000" w:themeColor="text1"/>
          <w:sz w:val="32"/>
          <w:szCs w:val="32"/>
          <w:lang w:val="zh-CN"/>
          <w14:textFill>
            <w14:solidFill>
              <w14:schemeClr w14:val="tx1"/>
            </w14:solidFill>
          </w14:textFill>
        </w:rPr>
        <w:t>年初预算数为53.28万元,支出决算为22.42万元,完成年初预算的42.07%,决算数小于预算数的主要原因是：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人员变动</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14:paraId="631FC80D">
      <w:pPr>
        <w:spacing w:before="100" w:beforeLines="0" w:after="100" w:afterLines="0"/>
        <w:ind w:firstLine="643"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b/>
          <w:color w:val="000000" w:themeColor="text1"/>
          <w:sz w:val="32"/>
          <w:szCs w:val="32"/>
          <w:lang w:val="zh-CN"/>
          <w14:textFill>
            <w14:solidFill>
              <w14:schemeClr w14:val="tx1"/>
            </w14:solidFill>
          </w14:textFill>
        </w:rPr>
        <w:t>．卫生健康支出</w:t>
      </w:r>
      <w:r>
        <w:rPr>
          <w:rFonts w:hint="eastAsia" w:ascii="仿宋_GB2312" w:hAnsi="仿宋_GB2312" w:eastAsia="仿宋_GB2312" w:cs="仿宋_GB2312"/>
          <w:color w:val="000000" w:themeColor="text1"/>
          <w:sz w:val="32"/>
          <w:szCs w:val="32"/>
          <w:lang w:val="zh-CN"/>
          <w14:textFill>
            <w14:solidFill>
              <w14:schemeClr w14:val="tx1"/>
            </w14:solidFill>
          </w14:textFill>
        </w:rPr>
        <w:t>年初预算数为18.75万元,支出决算为26.85万元,完成年初预算的143.17%,决算数大于预算数的主要原因是：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包含有2022年医疗保险支付</w:t>
      </w:r>
      <w:r>
        <w:rPr>
          <w:rFonts w:hint="eastAsia" w:ascii="仿宋_GB2312" w:hAnsi="仿宋_GB2312" w:eastAsia="仿宋_GB2312" w:cs="仿宋_GB2312"/>
          <w:color w:val="000000" w:themeColor="text1"/>
          <w:sz w:val="32"/>
          <w:szCs w:val="32"/>
          <w:lang w:val="zh-CN"/>
          <w14:textFill>
            <w14:solidFill>
              <w14:schemeClr w14:val="tx1"/>
            </w14:solidFill>
          </w14:textFill>
        </w:rPr>
        <w:t>。</w:t>
      </w:r>
    </w:p>
    <w:p w14:paraId="797D542E">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六、一般公共预算财政拨款基本支出决算情况说明</w:t>
      </w:r>
    </w:p>
    <w:p w14:paraId="5EE36436">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2023年度一般公共预算财政拨款基本支出513.27万元。其中：</w:t>
      </w:r>
    </w:p>
    <w:p w14:paraId="62193432">
      <w:pPr>
        <w:spacing w:before="100" w:beforeLines="0" w:after="100" w:afterLines="0"/>
        <w:ind w:firstLine="643"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auto"/>
          <w:sz w:val="32"/>
          <w:szCs w:val="32"/>
          <w:lang w:val="zh-CN"/>
        </w:rPr>
        <w:t>人员经费</w:t>
      </w:r>
      <w:r>
        <w:rPr>
          <w:rFonts w:hint="eastAsia" w:ascii="仿宋_GB2312" w:hAnsi="仿宋_GB2312" w:eastAsia="仿宋_GB2312" w:cs="仿宋_GB2312"/>
          <w:color w:val="auto"/>
          <w:sz w:val="32"/>
          <w:szCs w:val="32"/>
          <w:lang w:val="zh-CN"/>
        </w:rPr>
        <w:t>434.27万元,较上年决算数增加68.43万元,增长18.7</w:t>
      </w:r>
      <w:r>
        <w:rPr>
          <w:rFonts w:hint="eastAsia" w:ascii="仿宋_GB2312" w:hAnsi="仿宋_GB2312" w:eastAsia="仿宋_GB2312" w:cs="仿宋_GB2312"/>
          <w:color w:val="000000" w:themeColor="text1"/>
          <w:sz w:val="32"/>
          <w:szCs w:val="32"/>
          <w:lang w:val="zh-CN"/>
          <w14:textFill>
            <w14:solidFill>
              <w14:schemeClr w14:val="tx1"/>
            </w14:solidFill>
          </w14:textFill>
        </w:rPr>
        <w:t>%,主要原因是：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人员工资调整，补发2022年绩效奖</w:t>
      </w:r>
      <w:r>
        <w:rPr>
          <w:rFonts w:hint="eastAsia" w:ascii="仿宋_GB2312" w:hAnsi="仿宋_GB2312" w:eastAsia="仿宋_GB2312" w:cs="仿宋_GB2312"/>
          <w:color w:val="000000" w:themeColor="text1"/>
          <w:sz w:val="32"/>
          <w:szCs w:val="32"/>
          <w:lang w:val="zh-CN"/>
          <w14:textFill>
            <w14:solidFill>
              <w14:schemeClr w14:val="tx1"/>
            </w14:solidFill>
          </w14:textFill>
        </w:rPr>
        <w:t>。人员经费用途主要包括“基本工资、津贴补贴、奖金、社会保障缴费”。</w:t>
      </w:r>
    </w:p>
    <w:p w14:paraId="122505B2">
      <w:pPr>
        <w:spacing w:before="100" w:beforeLines="0" w:after="100" w:afterLines="0"/>
        <w:ind w:firstLine="643" w:firstLineChars="200"/>
        <w:jc w:val="left"/>
        <w:rPr>
          <w:rFonts w:hint="eastAsia" w:ascii="仿宋_GB2312" w:hAnsi="仿宋_GB2312" w:eastAsia="仿宋_GB2312" w:cs="仿宋_GB2312"/>
          <w:color w:val="000000" w:themeColor="text1"/>
          <w:sz w:val="32"/>
          <w:szCs w:val="32"/>
          <w:lang w:val="zh-CN"/>
          <w14:textFill>
            <w14:solidFill>
              <w14:schemeClr w14:val="tx1"/>
            </w14:solidFill>
          </w14:textFill>
        </w:rPr>
      </w:pPr>
      <w:r>
        <w:rPr>
          <w:rFonts w:hint="eastAsia" w:ascii="仿宋_GB2312" w:hAnsi="仿宋_GB2312" w:eastAsia="仿宋_GB2312" w:cs="仿宋_GB2312"/>
          <w:b/>
          <w:color w:val="000000" w:themeColor="text1"/>
          <w:sz w:val="32"/>
          <w:szCs w:val="32"/>
          <w:lang w:val="zh-CN"/>
          <w14:textFill>
            <w14:solidFill>
              <w14:schemeClr w14:val="tx1"/>
            </w14:solidFill>
          </w14:textFill>
        </w:rPr>
        <w:t>公用经费</w:t>
      </w:r>
      <w:r>
        <w:rPr>
          <w:rFonts w:hint="eastAsia" w:ascii="仿宋_GB2312" w:hAnsi="仿宋_GB2312" w:eastAsia="仿宋_GB2312" w:cs="仿宋_GB2312"/>
          <w:color w:val="000000" w:themeColor="text1"/>
          <w:sz w:val="32"/>
          <w:szCs w:val="32"/>
          <w:lang w:val="zh-CN"/>
          <w14:textFill>
            <w14:solidFill>
              <w14:schemeClr w14:val="tx1"/>
            </w14:solidFill>
          </w14:textFill>
        </w:rPr>
        <w:t>79.00万元,较上年决算数增加71.49万元,增长952.14%,主要原因是</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支付2022年未支付资金</w:t>
      </w:r>
      <w:r>
        <w:rPr>
          <w:rFonts w:hint="eastAsia" w:ascii="仿宋_GB2312" w:hAnsi="仿宋_GB2312" w:eastAsia="仿宋_GB2312" w:cs="仿宋_GB2312"/>
          <w:color w:val="000000" w:themeColor="text1"/>
          <w:sz w:val="32"/>
          <w:szCs w:val="32"/>
          <w:lang w:val="zh-CN"/>
          <w14:textFill>
            <w14:solidFill>
              <w14:schemeClr w14:val="tx1"/>
            </w14:solidFill>
          </w14:textFill>
        </w:rPr>
        <w:t>。公用经费用途主要包括办公费、印刷费、咨询费、手续费”。</w:t>
      </w:r>
    </w:p>
    <w:p w14:paraId="2643009F">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七、政府性基金预算财政拨款收支决算情况说明</w:t>
      </w:r>
    </w:p>
    <w:p w14:paraId="36075621">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本部门202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val="zh-CN"/>
        </w:rPr>
        <w:t>年度无政府性基金收入,也没有使用政府性基金安排的支出。</w:t>
      </w:r>
    </w:p>
    <w:p w14:paraId="39B83119">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八、国有资本经营预算财政拨款支出情况说明</w:t>
      </w:r>
    </w:p>
    <w:p w14:paraId="13368A69">
      <w:pPr>
        <w:spacing w:before="100" w:beforeLines="0" w:after="100" w:afterLines="0"/>
        <w:ind w:firstLine="640" w:firstLineChars="200"/>
        <w:jc w:val="left"/>
        <w:rPr>
          <w:rFonts w:hint="eastAsia" w:ascii="仿宋_GB2312" w:hAnsi="仿宋_GB2312" w:eastAsia="仿宋_GB2312" w:cs="仿宋_GB2312"/>
          <w:color w:val="FF0000"/>
          <w:sz w:val="32"/>
          <w:szCs w:val="32"/>
          <w:lang w:val="zh-CN" w:eastAsia="zh-CN"/>
        </w:rPr>
      </w:pPr>
      <w:r>
        <w:rPr>
          <w:rFonts w:hint="eastAsia" w:ascii="仿宋_GB2312" w:hAnsi="仿宋_GB2312" w:eastAsia="仿宋_GB2312" w:cs="仿宋_GB2312"/>
          <w:i w:val="0"/>
          <w:iCs w:val="0"/>
          <w:caps w:val="0"/>
          <w:color w:val="333333"/>
          <w:spacing w:val="0"/>
          <w:sz w:val="32"/>
          <w:szCs w:val="32"/>
          <w:shd w:val="clear" w:fill="FFFFFF"/>
        </w:rPr>
        <w:t>本部门202</w:t>
      </w: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年度没有使用国有资本经营预算安排的支出</w:t>
      </w:r>
      <w:r>
        <w:rPr>
          <w:rFonts w:hint="eastAsia" w:ascii="仿宋_GB2312" w:hAnsi="仿宋_GB2312" w:eastAsia="仿宋_GB2312" w:cs="仿宋_GB2312"/>
          <w:i w:val="0"/>
          <w:iCs w:val="0"/>
          <w:caps w:val="0"/>
          <w:color w:val="333333"/>
          <w:spacing w:val="0"/>
          <w:sz w:val="32"/>
          <w:szCs w:val="32"/>
          <w:shd w:val="clear" w:fill="FFFFFF"/>
          <w:lang w:eastAsia="zh-CN"/>
        </w:rPr>
        <w:t>。</w:t>
      </w:r>
    </w:p>
    <w:p w14:paraId="68422BE6">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九</w:t>
      </w:r>
      <w:r>
        <w:rPr>
          <w:rFonts w:hint="eastAsia" w:ascii="黑体" w:hAnsi="黑体" w:eastAsia="黑体" w:cs="黑体"/>
          <w:b/>
          <w:bCs/>
          <w:color w:val="auto"/>
          <w:sz w:val="32"/>
          <w:szCs w:val="32"/>
          <w:lang w:val="zh-CN" w:eastAsia="zh-CN"/>
        </w:rPr>
        <w:t>、财政拨款“三公”经费支出决算情况说明</w:t>
      </w:r>
    </w:p>
    <w:p w14:paraId="48795CE9">
      <w:pPr>
        <w:spacing w:before="100" w:beforeLines="0" w:after="100" w:afterLines="0"/>
        <w:ind w:firstLine="640" w:firstLineChars="200"/>
        <w:jc w:val="left"/>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我单位属公益性事业单位,财政未保障我单位“三公”经费。</w:t>
      </w:r>
    </w:p>
    <w:p w14:paraId="005C2B91">
      <w:pPr>
        <w:numPr>
          <w:ilvl w:val="0"/>
          <w:numId w:val="1"/>
        </w:num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机关运行经费支出情况说明</w:t>
      </w:r>
    </w:p>
    <w:p w14:paraId="7AF544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640" w:firstLineChars="200"/>
        <w:jc w:val="left"/>
        <w:rPr>
          <w:rFonts w:hint="eastAsia" w:ascii="仿宋_GB2312" w:hAnsi="仿宋_GB2312" w:eastAsia="仿宋_GB2312" w:cs="仿宋_GB2312"/>
          <w:i w:val="0"/>
          <w:iCs w:val="0"/>
          <w:caps w:val="0"/>
          <w:color w:val="333333"/>
          <w:spacing w:val="0"/>
          <w:sz w:val="32"/>
          <w:szCs w:val="32"/>
        </w:rPr>
      </w:pPr>
      <w:r>
        <w:rPr>
          <w:rFonts w:hint="eastAsia" w:ascii="仿宋_GB2312" w:hAnsi="仿宋_GB2312" w:eastAsia="仿宋_GB2312" w:cs="仿宋_GB2312"/>
          <w:i w:val="0"/>
          <w:iCs w:val="0"/>
          <w:caps w:val="0"/>
          <w:color w:val="333333"/>
          <w:spacing w:val="0"/>
          <w:sz w:val="32"/>
          <w:szCs w:val="32"/>
          <w:shd w:val="clear" w:fill="FFFFFF"/>
        </w:rPr>
        <w:t>202</w:t>
      </w: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年度本部门机关运行经费支出0.00万元。</w:t>
      </w:r>
    </w:p>
    <w:p w14:paraId="4E5B6B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05" w:beforeAutospacing="0" w:after="105" w:afterAutospacing="0"/>
        <w:ind w:left="0" w:right="0" w:firstLine="640" w:firstLineChars="200"/>
        <w:jc w:val="left"/>
        <w:rPr>
          <w:rFonts w:hint="eastAsia" w:ascii="仿宋_GB2312" w:hAnsi="仿宋_GB2312" w:eastAsia="仿宋_GB2312" w:cs="仿宋_GB2312"/>
          <w:color w:val="FF0000"/>
          <w:sz w:val="32"/>
          <w:szCs w:val="32"/>
          <w:lang w:val="zh-CN"/>
        </w:rPr>
      </w:pPr>
      <w:r>
        <w:rPr>
          <w:rFonts w:hint="eastAsia" w:ascii="仿宋_GB2312" w:hAnsi="仿宋_GB2312" w:eastAsia="仿宋_GB2312" w:cs="仿宋_GB2312"/>
          <w:i w:val="0"/>
          <w:iCs w:val="0"/>
          <w:caps w:val="0"/>
          <w:color w:val="333333"/>
          <w:spacing w:val="0"/>
          <w:sz w:val="32"/>
          <w:szCs w:val="32"/>
          <w:shd w:val="clear" w:fill="FFFFFF"/>
        </w:rPr>
        <w:t>本年度会议费支出0.00万元。本年度培训费支出0.0</w:t>
      </w:r>
      <w:r>
        <w:rPr>
          <w:rFonts w:hint="eastAsia" w:ascii="仿宋_GB2312" w:hAnsi="仿宋_GB2312" w:eastAsia="仿宋_GB2312" w:cs="仿宋_GB2312"/>
          <w:i w:val="0"/>
          <w:iCs w:val="0"/>
          <w:caps w:val="0"/>
          <w:color w:val="333333"/>
          <w:spacing w:val="0"/>
          <w:sz w:val="32"/>
          <w:szCs w:val="32"/>
          <w:shd w:val="clear" w:fill="FFFFFF"/>
          <w:lang w:val="en-US" w:eastAsia="zh-CN"/>
        </w:rPr>
        <w:t>0</w:t>
      </w:r>
      <w:r>
        <w:rPr>
          <w:rFonts w:hint="eastAsia" w:ascii="仿宋_GB2312" w:hAnsi="仿宋_GB2312" w:eastAsia="仿宋_GB2312" w:cs="仿宋_GB2312"/>
          <w:i w:val="0"/>
          <w:iCs w:val="0"/>
          <w:caps w:val="0"/>
          <w:color w:val="333333"/>
          <w:spacing w:val="0"/>
          <w:sz w:val="32"/>
          <w:szCs w:val="32"/>
          <w:shd w:val="clear" w:fill="FFFFFF"/>
        </w:rPr>
        <w:t>万元,</w:t>
      </w:r>
      <w:r>
        <w:rPr>
          <w:rFonts w:hint="eastAsia" w:ascii="仿宋_GB2312" w:hAnsi="仿宋_GB2312" w:eastAsia="仿宋_GB2312" w:cs="仿宋_GB2312"/>
          <w:color w:val="auto"/>
          <w:sz w:val="32"/>
          <w:szCs w:val="32"/>
          <w:lang w:val="zh-CN"/>
        </w:rPr>
        <w:t>较上年决算数减少0.07万元,下降100.0%,</w:t>
      </w:r>
      <w:r>
        <w:rPr>
          <w:rFonts w:hint="eastAsia" w:ascii="仿宋_GB2312" w:hAnsi="仿宋_GB2312" w:eastAsia="仿宋_GB2312" w:cs="仿宋_GB2312"/>
          <w:i w:val="0"/>
          <w:iCs w:val="0"/>
          <w:caps w:val="0"/>
          <w:color w:val="333333"/>
          <w:spacing w:val="0"/>
          <w:sz w:val="32"/>
          <w:szCs w:val="32"/>
          <w:shd w:val="clear" w:fill="FFFFFF"/>
        </w:rPr>
        <w:t>,主要原因是外出培训减少</w:t>
      </w: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lang w:val="en-US" w:eastAsia="zh-CN"/>
        </w:rPr>
        <w:t>部分培训费未完成支付</w:t>
      </w:r>
      <w:r>
        <w:rPr>
          <w:rFonts w:hint="eastAsia" w:ascii="仿宋_GB2312" w:hAnsi="仿宋_GB2312" w:eastAsia="仿宋_GB2312" w:cs="仿宋_GB2312"/>
          <w:i w:val="0"/>
          <w:iCs w:val="0"/>
          <w:caps w:val="0"/>
          <w:color w:val="333333"/>
          <w:spacing w:val="0"/>
          <w:sz w:val="32"/>
          <w:szCs w:val="32"/>
          <w:shd w:val="clear" w:fill="FFFFFF"/>
        </w:rPr>
        <w:t>。</w:t>
      </w:r>
    </w:p>
    <w:p w14:paraId="3EFE4967">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十一、政府采购支出情况说明</w:t>
      </w:r>
    </w:p>
    <w:p w14:paraId="71BCF984">
      <w:pPr>
        <w:spacing w:before="100" w:beforeLines="0" w:after="100" w:afterLines="0"/>
        <w:ind w:firstLine="640" w:firstLineChars="200"/>
        <w:jc w:val="left"/>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本部门202</w:t>
      </w: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年度</w:t>
      </w:r>
      <w:r>
        <w:rPr>
          <w:rFonts w:hint="eastAsia" w:ascii="仿宋_GB2312" w:hAnsi="仿宋_GB2312" w:eastAsia="仿宋_GB2312" w:cs="仿宋_GB2312"/>
          <w:i w:val="0"/>
          <w:iCs w:val="0"/>
          <w:caps w:val="0"/>
          <w:color w:val="333333"/>
          <w:spacing w:val="0"/>
          <w:sz w:val="32"/>
          <w:szCs w:val="32"/>
          <w:shd w:val="clear" w:fill="FFFFFF"/>
          <w:lang w:val="en-US" w:eastAsia="zh-CN"/>
        </w:rPr>
        <w:t>政府采购有预算，未完成</w:t>
      </w:r>
      <w:r>
        <w:rPr>
          <w:rFonts w:hint="eastAsia" w:ascii="仿宋_GB2312" w:hAnsi="仿宋_GB2312" w:eastAsia="仿宋_GB2312" w:cs="仿宋_GB2312"/>
          <w:i w:val="0"/>
          <w:iCs w:val="0"/>
          <w:caps w:val="0"/>
          <w:color w:val="333333"/>
          <w:spacing w:val="0"/>
          <w:sz w:val="32"/>
          <w:szCs w:val="32"/>
          <w:shd w:val="clear" w:fill="FFFFFF"/>
        </w:rPr>
        <w:t>支出。</w:t>
      </w:r>
    </w:p>
    <w:p w14:paraId="51C06781">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en-US" w:eastAsia="zh-CN"/>
        </w:rPr>
        <w:t>十二</w:t>
      </w:r>
      <w:r>
        <w:rPr>
          <w:rFonts w:hint="eastAsia" w:ascii="黑体" w:hAnsi="黑体" w:eastAsia="黑体" w:cs="黑体"/>
          <w:b/>
          <w:bCs/>
          <w:color w:val="auto"/>
          <w:sz w:val="32"/>
          <w:szCs w:val="32"/>
          <w:lang w:val="zh-CN" w:eastAsia="zh-CN"/>
        </w:rPr>
        <w:t>、国有资产占用情况说明</w:t>
      </w:r>
    </w:p>
    <w:p w14:paraId="35AE538F">
      <w:pPr>
        <w:spacing w:before="100" w:beforeLines="0" w:after="100" w:afterLines="0"/>
        <w:ind w:firstLine="640" w:firstLineChars="200"/>
        <w:jc w:val="left"/>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截至202</w:t>
      </w: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7B7148E6">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十三、其他需要说明的情况</w:t>
      </w:r>
    </w:p>
    <w:p w14:paraId="586696FE">
      <w:pPr>
        <w:spacing w:before="100" w:beforeLines="0" w:after="100" w:afterLines="0"/>
        <w:ind w:firstLine="640" w:firstLineChars="200"/>
        <w:jc w:val="left"/>
        <w:rPr>
          <w:rFonts w:hint="eastAsia"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由于决算公开表格中金额数值应当保留两位小数，公开数据为四舍五入计算结果，个别数据合计项与分项之和存在小数点后差额，特此说明。</w:t>
      </w:r>
    </w:p>
    <w:p w14:paraId="0EFC6FCB">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第四部分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预算绩效情况说明</w:t>
      </w:r>
    </w:p>
    <w:p w14:paraId="7C2B8A82">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一、预算绩效管理工作开展情况</w:t>
      </w:r>
    </w:p>
    <w:p w14:paraId="2E4E9330">
      <w:pPr>
        <w:spacing w:before="100" w:beforeLines="0" w:after="100" w:afterLines="0"/>
        <w:ind w:firstLine="640" w:firstLineChars="200"/>
        <w:jc w:val="left"/>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根据预算绩效管理要求,本部门对202</w:t>
      </w: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年度一般公共预算项目支出全面开展绩效自评,其中,一级项目1个,二级项目0个,共涉及资金513.27万元,占一般公共预算项目支出总额的100%。</w:t>
      </w:r>
    </w:p>
    <w:p w14:paraId="3D00A3D5">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二、绩效自评结果</w:t>
      </w:r>
      <w:bookmarkStart w:id="0" w:name="_GoBack"/>
      <w:bookmarkEnd w:id="0"/>
    </w:p>
    <w:p w14:paraId="32D7D6B0">
      <w:pPr>
        <w:spacing w:before="100" w:beforeLines="0" w:after="100" w:afterLines="0"/>
        <w:ind w:firstLine="640" w:firstLineChars="200"/>
        <w:jc w:val="left"/>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优</w:t>
      </w:r>
    </w:p>
    <w:p w14:paraId="7CE31EE6">
      <w:pPr>
        <w:spacing w:before="100" w:beforeLines="0" w:after="100" w:afterLines="0"/>
        <w:jc w:val="left"/>
        <w:rPr>
          <w:rFonts w:hint="eastAsia" w:ascii="黑体" w:hAnsi="黑体" w:eastAsia="黑体" w:cs="黑体"/>
          <w:b/>
          <w:bCs/>
          <w:color w:val="auto"/>
          <w:sz w:val="32"/>
          <w:szCs w:val="32"/>
          <w:lang w:val="zh-CN" w:eastAsia="zh-CN"/>
        </w:rPr>
      </w:pPr>
      <w:r>
        <w:rPr>
          <w:rFonts w:hint="eastAsia" w:ascii="黑体" w:hAnsi="黑体" w:eastAsia="黑体" w:cs="黑体"/>
          <w:b/>
          <w:bCs/>
          <w:color w:val="auto"/>
          <w:sz w:val="32"/>
          <w:szCs w:val="32"/>
          <w:lang w:val="zh-CN" w:eastAsia="zh-CN"/>
        </w:rPr>
        <w:t>三、部门绩效评价结果</w:t>
      </w:r>
    </w:p>
    <w:p w14:paraId="0F8643FC">
      <w:pPr>
        <w:spacing w:before="100" w:beforeLines="0" w:after="100" w:afterLines="0"/>
        <w:ind w:firstLine="640" w:firstLineChars="200"/>
        <w:jc w:val="both"/>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柔远幼儿园202</w:t>
      </w:r>
      <w:r>
        <w:rPr>
          <w:rFonts w:hint="eastAsia" w:ascii="仿宋_GB2312" w:hAnsi="仿宋_GB2312" w:eastAsia="仿宋_GB2312" w:cs="仿宋_GB2312"/>
          <w:i w:val="0"/>
          <w:iCs w:val="0"/>
          <w:caps w:val="0"/>
          <w:color w:val="333333"/>
          <w:spacing w:val="0"/>
          <w:sz w:val="32"/>
          <w:szCs w:val="32"/>
          <w:shd w:val="clear" w:fill="FFFFFF"/>
          <w:lang w:val="en-US" w:eastAsia="zh-CN"/>
        </w:rPr>
        <w:t>3</w:t>
      </w:r>
      <w:r>
        <w:rPr>
          <w:rFonts w:hint="eastAsia" w:ascii="仿宋_GB2312" w:hAnsi="仿宋_GB2312" w:eastAsia="仿宋_GB2312" w:cs="仿宋_GB2312"/>
          <w:i w:val="0"/>
          <w:iCs w:val="0"/>
          <w:caps w:val="0"/>
          <w:color w:val="333333"/>
          <w:spacing w:val="0"/>
          <w:sz w:val="32"/>
          <w:szCs w:val="32"/>
          <w:shd w:val="clear" w:fill="FFFFFF"/>
        </w:rPr>
        <w:t>部门整体支出绩效自评表（见附件）</w:t>
      </w:r>
    </w:p>
    <w:p w14:paraId="7AC16F7B">
      <w:pPr>
        <w:spacing w:before="100" w:beforeLines="0" w:after="100" w:afterLines="0"/>
        <w:jc w:val="center"/>
        <w:rPr>
          <w:rFonts w:hint="eastAsia" w:ascii="仿宋_GB2312" w:hAnsi="仿宋_GB2312" w:eastAsia="仿宋_GB2312" w:cs="仿宋_GB2312"/>
          <w:b/>
          <w:bCs/>
          <w:color w:val="auto"/>
          <w:sz w:val="32"/>
          <w:szCs w:val="32"/>
          <w:lang w:val="zh-CN" w:eastAsia="zh-CN"/>
        </w:rPr>
      </w:pPr>
      <w:r>
        <w:rPr>
          <w:rFonts w:hint="eastAsia" w:ascii="仿宋_GB2312" w:hAnsi="仿宋_GB2312" w:eastAsia="仿宋_GB2312" w:cs="仿宋_GB2312"/>
          <w:b/>
          <w:bCs/>
          <w:color w:val="auto"/>
          <w:sz w:val="32"/>
          <w:szCs w:val="32"/>
          <w:lang w:val="zh-CN" w:eastAsia="zh-CN"/>
        </w:rPr>
        <w:t>第五部分</w:t>
      </w:r>
      <w:r>
        <w:rPr>
          <w:rFonts w:hint="eastAsia" w:ascii="仿宋_GB2312" w:hAnsi="仿宋_GB2312" w:eastAsia="仿宋_GB2312" w:cs="仿宋_GB2312"/>
          <w:b/>
          <w:bCs/>
          <w:color w:val="auto"/>
          <w:sz w:val="32"/>
          <w:szCs w:val="32"/>
          <w:lang w:val="en-US" w:eastAsia="zh-CN"/>
        </w:rPr>
        <w:t xml:space="preserve">  </w:t>
      </w:r>
      <w:r>
        <w:rPr>
          <w:rFonts w:hint="eastAsia" w:ascii="仿宋_GB2312" w:hAnsi="仿宋_GB2312" w:eastAsia="仿宋_GB2312" w:cs="仿宋_GB2312"/>
          <w:b/>
          <w:bCs/>
          <w:color w:val="auto"/>
          <w:sz w:val="32"/>
          <w:szCs w:val="32"/>
          <w:lang w:val="zh-CN" w:eastAsia="zh-CN"/>
        </w:rPr>
        <w:t>名词解释</w:t>
      </w:r>
    </w:p>
    <w:p w14:paraId="4E2D037C">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一、财政拨款收入</w:t>
      </w:r>
      <w:r>
        <w:rPr>
          <w:rFonts w:hint="eastAsia" w:ascii="黑体" w:hAnsi="黑体" w:eastAsia="黑体" w:cs="黑体"/>
          <w:color w:val="auto"/>
          <w:sz w:val="32"/>
          <w:szCs w:val="32"/>
          <w:lang w:val="zh-CN"/>
        </w:rPr>
        <w:t>：</w:t>
      </w:r>
      <w:r>
        <w:rPr>
          <w:rFonts w:hint="eastAsia" w:ascii="仿宋_GB2312" w:hAnsi="仿宋_GB2312" w:eastAsia="仿宋_GB2312" w:cs="仿宋_GB2312"/>
          <w:color w:val="auto"/>
          <w:sz w:val="32"/>
          <w:szCs w:val="32"/>
          <w:lang w:val="zh-CN"/>
        </w:rPr>
        <w:t>指本年度从同级财政部门取得的财政拨款,包括一般公共预算财政拨款、政府性基金预算财政拨款和国有资本经营预算财政拨款。</w:t>
      </w:r>
    </w:p>
    <w:p w14:paraId="77ED35BF">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二、事业收入：</w:t>
      </w:r>
      <w:r>
        <w:rPr>
          <w:rFonts w:hint="eastAsia" w:ascii="仿宋_GB2312" w:hAnsi="仿宋_GB2312" w:eastAsia="仿宋_GB2312" w:cs="仿宋_GB2312"/>
          <w:color w:val="auto"/>
          <w:sz w:val="32"/>
          <w:szCs w:val="32"/>
          <w:lang w:val="zh-CN"/>
        </w:rPr>
        <w:t>指事业单位开展专业业务活动及其辅助活动取得的收入。</w:t>
      </w:r>
    </w:p>
    <w:p w14:paraId="1DFA2DB0">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三、经营收入：</w:t>
      </w:r>
      <w:r>
        <w:rPr>
          <w:rFonts w:hint="eastAsia" w:ascii="仿宋_GB2312" w:hAnsi="仿宋_GB2312" w:eastAsia="仿宋_GB2312" w:cs="仿宋_GB2312"/>
          <w:color w:val="auto"/>
          <w:sz w:val="32"/>
          <w:szCs w:val="32"/>
          <w:lang w:val="zh-CN"/>
        </w:rPr>
        <w:t>指事业单位在专业业务活动及其辅助活动之外开展非独立核算经营活动取得的收入。</w:t>
      </w:r>
    </w:p>
    <w:p w14:paraId="41BF9E91">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四、其他收入：</w:t>
      </w:r>
      <w:r>
        <w:rPr>
          <w:rFonts w:hint="eastAsia" w:ascii="仿宋_GB2312" w:hAnsi="仿宋_GB2312" w:eastAsia="仿宋_GB2312" w:cs="仿宋_GB2312"/>
          <w:color w:val="auto"/>
          <w:sz w:val="32"/>
          <w:szCs w:val="32"/>
          <w:lang w:val="zh-CN"/>
        </w:rPr>
        <w:t>指除上述“财政拨款收入”“事业收入”、“经营收入”以外的收入。</w:t>
      </w:r>
    </w:p>
    <w:p w14:paraId="66874812">
      <w:pPr>
        <w:spacing w:before="100" w:beforeLines="0" w:after="100" w:afterLines="0"/>
        <w:ind w:firstLine="643" w:firstLineChars="200"/>
        <w:jc w:val="both"/>
        <w:rPr>
          <w:rFonts w:hint="eastAsia" w:ascii="仿宋_GB2312" w:hAnsi="仿宋_GB2312" w:eastAsia="仿宋_GB2312" w:cs="仿宋_GB2312"/>
          <w:b w:val="0"/>
          <w:bCs w:val="0"/>
          <w:color w:val="auto"/>
          <w:sz w:val="32"/>
          <w:szCs w:val="32"/>
          <w:lang w:val="zh-CN"/>
        </w:rPr>
      </w:pPr>
      <w:r>
        <w:rPr>
          <w:rFonts w:hint="eastAsia" w:ascii="黑体" w:hAnsi="黑体" w:eastAsia="黑体" w:cs="黑体"/>
          <w:b/>
          <w:color w:val="auto"/>
          <w:sz w:val="32"/>
          <w:szCs w:val="32"/>
          <w:lang w:val="zh-CN"/>
        </w:rPr>
        <w:t>五、使用非财政拨款结余（含专用结余）：</w:t>
      </w:r>
      <w:r>
        <w:rPr>
          <w:rFonts w:hint="eastAsia" w:ascii="仿宋_GB2312" w:hAnsi="仿宋_GB2312" w:eastAsia="仿宋_GB2312" w:cs="仿宋_GB2312"/>
          <w:b w:val="0"/>
          <w:bCs w:val="0"/>
          <w:color w:val="auto"/>
          <w:sz w:val="32"/>
          <w:szCs w:val="32"/>
          <w:lang w:val="zh-CN"/>
        </w:rPr>
        <w:t>指事业单位按照预算管理要求使用非财政拨款结余弥补收支差额的金额，以及使用专用结余安排支出的金额。</w:t>
      </w:r>
    </w:p>
    <w:p w14:paraId="6774436C">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六、年初结转和结余：</w:t>
      </w:r>
      <w:r>
        <w:rPr>
          <w:rFonts w:hint="eastAsia" w:ascii="仿宋_GB2312" w:hAnsi="仿宋_GB2312" w:eastAsia="仿宋_GB2312" w:cs="仿宋_GB2312"/>
          <w:color w:val="auto"/>
          <w:sz w:val="32"/>
          <w:szCs w:val="32"/>
          <w:lang w:val="zh-CN"/>
        </w:rPr>
        <w:t>指单位上年结转至本年使用的基本支出结转、项目支出结转和结余、经营结余。</w:t>
      </w:r>
    </w:p>
    <w:p w14:paraId="1F90B433">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七、结余分配：</w:t>
      </w:r>
      <w:r>
        <w:rPr>
          <w:rFonts w:hint="eastAsia" w:ascii="仿宋_GB2312" w:hAnsi="仿宋_GB2312" w:eastAsia="仿宋_GB2312" w:cs="仿宋_GB2312"/>
          <w:color w:val="auto"/>
          <w:sz w:val="32"/>
          <w:szCs w:val="32"/>
          <w:lang w:val="zh-CN"/>
        </w:rPr>
        <w:t>指单位按照会计制度规定缴纳的所得税、提取的专用结余以及转入非财政拨款结余的金额等。</w:t>
      </w:r>
    </w:p>
    <w:p w14:paraId="587D2885">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八、年末结转和结余：</w:t>
      </w:r>
      <w:r>
        <w:rPr>
          <w:rFonts w:hint="eastAsia" w:ascii="仿宋_GB2312" w:hAnsi="仿宋_GB2312" w:eastAsia="仿宋_GB2312" w:cs="仿宋_GB2312"/>
          <w:color w:val="auto"/>
          <w:sz w:val="32"/>
          <w:szCs w:val="32"/>
          <w:lang w:val="zh-CN"/>
        </w:rPr>
        <w:t>指单位按有关规定结转到下年的基本支出结转、项目支出结转和结余、经营结余。</w:t>
      </w:r>
    </w:p>
    <w:p w14:paraId="0EDB48BF">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九、基本支出：</w:t>
      </w:r>
      <w:r>
        <w:rPr>
          <w:rFonts w:hint="eastAsia" w:ascii="仿宋_GB2312" w:hAnsi="仿宋_GB2312" w:eastAsia="仿宋_GB2312" w:cs="仿宋_GB2312"/>
          <w:color w:val="auto"/>
          <w:sz w:val="32"/>
          <w:szCs w:val="32"/>
          <w:lang w:val="zh-CN"/>
        </w:rPr>
        <w:t>指为保障机构正常运转、完成日常工作任务而发生的人员经费和公用经费。</w:t>
      </w:r>
    </w:p>
    <w:p w14:paraId="18F2F977">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十、项目支出：</w:t>
      </w:r>
      <w:r>
        <w:rPr>
          <w:rFonts w:hint="eastAsia" w:ascii="仿宋_GB2312" w:hAnsi="仿宋_GB2312" w:eastAsia="仿宋_GB2312" w:cs="仿宋_GB2312"/>
          <w:color w:val="auto"/>
          <w:sz w:val="32"/>
          <w:szCs w:val="32"/>
          <w:lang w:val="zh-CN"/>
        </w:rPr>
        <w:t>指在基本支出之外为完成特定行政任务或事业发展目标所发生的支出。</w:t>
      </w:r>
    </w:p>
    <w:p w14:paraId="1A56D6BC">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十一、经营支出：</w:t>
      </w:r>
      <w:r>
        <w:rPr>
          <w:rFonts w:hint="eastAsia" w:ascii="仿宋_GB2312" w:hAnsi="仿宋_GB2312" w:eastAsia="仿宋_GB2312" w:cs="仿宋_GB2312"/>
          <w:color w:val="auto"/>
          <w:sz w:val="32"/>
          <w:szCs w:val="32"/>
          <w:lang w:val="zh-CN"/>
        </w:rPr>
        <w:t>指事业单位在专业业务活动及其辅助活动之外开展非独立核算经营活动发生的支出。</w:t>
      </w:r>
    </w:p>
    <w:p w14:paraId="02AA9400">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十二、“三公”经费：</w:t>
      </w:r>
      <w:r>
        <w:rPr>
          <w:rFonts w:hint="eastAsia" w:ascii="仿宋_GB2312" w:hAnsi="仿宋_GB2312" w:eastAsia="仿宋_GB2312" w:cs="仿宋_GB2312"/>
          <w:color w:val="auto"/>
          <w:sz w:val="32"/>
          <w:szCs w:val="32"/>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6D1D1FFD">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十三、机关运行经费：</w:t>
      </w:r>
      <w:r>
        <w:rPr>
          <w:rFonts w:hint="eastAsia" w:ascii="仿宋_GB2312" w:hAnsi="仿宋_GB2312" w:eastAsia="仿宋_GB2312" w:cs="仿宋_GB2312"/>
          <w:color w:val="auto"/>
          <w:sz w:val="32"/>
          <w:szCs w:val="32"/>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78B1BAD">
      <w:pPr>
        <w:spacing w:before="100" w:beforeLines="0" w:after="100" w:afterLines="0"/>
        <w:ind w:firstLine="643" w:firstLineChars="200"/>
        <w:jc w:val="both"/>
        <w:rPr>
          <w:rFonts w:hint="eastAsia" w:ascii="仿宋_GB2312" w:hAnsi="仿宋_GB2312" w:eastAsia="仿宋_GB2312" w:cs="仿宋_GB2312"/>
          <w:color w:val="auto"/>
          <w:sz w:val="32"/>
          <w:szCs w:val="32"/>
          <w:lang w:val="zh-CN"/>
        </w:rPr>
      </w:pPr>
      <w:r>
        <w:rPr>
          <w:rFonts w:hint="eastAsia" w:ascii="黑体" w:hAnsi="黑体" w:eastAsia="黑体" w:cs="黑体"/>
          <w:b/>
          <w:color w:val="auto"/>
          <w:sz w:val="32"/>
          <w:szCs w:val="32"/>
          <w:lang w:val="zh-CN"/>
        </w:rPr>
        <w:t>十四、社会保障和就业支出（类）行政事业单位养老支出（款）机关事业单位基本养老保险缴费支出（项）：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zh-CN"/>
        </w:rPr>
        <w:t>反映机关事业单位实施养老保险制度由单位缴纳的基本养老保险支出。</w:t>
      </w:r>
    </w:p>
    <w:p w14:paraId="059A3570">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6A4F7"/>
    <w:multiLevelType w:val="singleLevel"/>
    <w:tmpl w:val="EDA6A4F7"/>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zNzQxZWE2NjNmMmU4MGU2NmI2NDc5MzQ5MTE0Y2EifQ=="/>
  </w:docVars>
  <w:rsids>
    <w:rsidRoot w:val="00000000"/>
    <w:rsid w:val="1A8C409D"/>
    <w:rsid w:val="46364E41"/>
    <w:rsid w:val="6DD3467C"/>
    <w:rsid w:val="70AF4B7F"/>
    <w:rsid w:val="7AA914B4"/>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5.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7.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Props1.xml><?xml version="1.0" encoding="utf-8"?>
<ds:datastoreItem xmlns:ds="http://schemas.openxmlformats.org/officeDocument/2006/customXml" ds:itemID="{58908642-66c6-4cf2-ae0b-66d46f33c378}">
  <ds:schemaRefs/>
</ds:datastoreItem>
</file>

<file path=customXml/itemProps2.xml><?xml version="1.0" encoding="utf-8"?>
<ds:datastoreItem xmlns:ds="http://schemas.openxmlformats.org/officeDocument/2006/customXml" ds:itemID="{38b10a5d-e7bd-4483-a04b-8d46d7990483}">
  <ds:schemaRefs/>
</ds:datastoreItem>
</file>

<file path=customXml/itemProps3.xml><?xml version="1.0" encoding="utf-8"?>
<ds:datastoreItem xmlns:ds="http://schemas.openxmlformats.org/officeDocument/2006/customXml" ds:itemID="{8616e2f9-74dd-430b-bb33-f3882b8a8d2f}">
  <ds:schemaRefs/>
</ds:datastoreItem>
</file>

<file path=customXml/itemProps4.xml><?xml version="1.0" encoding="utf-8"?>
<ds:datastoreItem xmlns:ds="http://schemas.openxmlformats.org/officeDocument/2006/customXml" ds:itemID="{4a8e8fae-1bba-406e-b07b-7b31b3b17c89}">
  <ds:schemaRefs/>
</ds:datastoreItem>
</file>

<file path=customXml/itemProps5.xml><?xml version="1.0" encoding="utf-8"?>
<ds:datastoreItem xmlns:ds="http://schemas.openxmlformats.org/officeDocument/2006/customXml" ds:itemID="{51b08f5e-ddd9-4398-baaf-1562c8423c86}">
  <ds:schemaRefs/>
</ds:datastoreItem>
</file>

<file path=customXml/itemProps6.xml><?xml version="1.0" encoding="utf-8"?>
<ds:datastoreItem xmlns:ds="http://schemas.openxmlformats.org/officeDocument/2006/customXml" ds:itemID="{d177368c-c48e-4f8a-abbc-20ddc63df188}">
  <ds:schemaRefs/>
</ds:datastoreItem>
</file>

<file path=customXml/itemProps7.xml><?xml version="1.0" encoding="utf-8"?>
<ds:datastoreItem xmlns:ds="http://schemas.openxmlformats.org/officeDocument/2006/customXml" ds:itemID="{470e6d9c-fa1c-4564-ad6c-37fcc13f53e2}">
  <ds:schemaRefs/>
</ds:datastoreItem>
</file>

<file path=customXml/itemProps8.xml><?xml version="1.0" encoding="utf-8"?>
<ds:datastoreItem xmlns:ds="http://schemas.openxmlformats.org/officeDocument/2006/customXml" ds:itemID="{971b5a6e-f7db-4273-9b00-9097e4b1d17e}">
  <ds:schemaRefs/>
</ds:datastoreItem>
</file>

<file path=customXml/itemProps9.xml><?xml version="1.0" encoding="utf-8"?>
<ds:datastoreItem xmlns:ds="http://schemas.openxmlformats.org/officeDocument/2006/customXml" ds:itemID="{0502571d-1dce-4874-9aa9-a7b493361d12}">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3807</Words>
  <Characters>4317</Characters>
  <Lines>0</Lines>
  <Paragraphs>0</Paragraphs>
  <TotalTime>5</TotalTime>
  <ScaleCrop>false</ScaleCrop>
  <LinksUpToDate>false</LinksUpToDate>
  <CharactersWithSpaces>4321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賣聿人</cp:lastModifiedBy>
  <dcterms:modified xsi:type="dcterms:W3CDTF">2024-09-18T02:57:19Z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E06D266F13EA4024808CEEADBAD91186_11</vt:lpwstr>
  </property>
</Properties>
</file>