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5D08C1">
      <w:pPr>
        <w:spacing w:before="100" w:beforeLines="0" w:after="100" w:afterLines="0"/>
        <w:jc w:val="both"/>
        <w:rPr>
          <w:rFonts w:hint="eastAsia" w:ascii="仿宋_GB2312" w:hAnsi="仿宋_GB2312" w:eastAsia="仿宋_GB2312" w:cs="仿宋_GB2312"/>
          <w:sz w:val="32"/>
          <w:szCs w:val="32"/>
          <w:lang w:val="zh-CN"/>
        </w:rPr>
      </w:pPr>
    </w:p>
    <w:p w14:paraId="764C30E7">
      <w:pPr>
        <w:spacing w:before="100" w:beforeLines="0" w:after="100" w:afterLines="0"/>
        <w:jc w:val="both"/>
        <w:rPr>
          <w:rFonts w:hint="eastAsia" w:ascii="仿宋_GB2312" w:hAnsi="仿宋_GB2312" w:eastAsia="仿宋_GB2312" w:cs="仿宋_GB2312"/>
          <w:sz w:val="32"/>
          <w:szCs w:val="32"/>
          <w:lang w:val="zh-CN"/>
        </w:rPr>
      </w:pPr>
    </w:p>
    <w:p w14:paraId="475ECECF">
      <w:pPr>
        <w:spacing w:before="100" w:beforeLines="0" w:after="100" w:afterLines="0"/>
        <w:jc w:val="both"/>
        <w:rPr>
          <w:rFonts w:hint="eastAsia" w:ascii="仿宋_GB2312" w:hAnsi="仿宋_GB2312" w:eastAsia="仿宋_GB2312" w:cs="仿宋_GB2312"/>
          <w:sz w:val="32"/>
          <w:szCs w:val="32"/>
          <w:lang w:val="zh-CN"/>
        </w:rPr>
      </w:pPr>
    </w:p>
    <w:p w14:paraId="350C752A">
      <w:pPr>
        <w:spacing w:before="100" w:beforeLines="0" w:after="100" w:afterLines="0"/>
        <w:jc w:val="both"/>
        <w:rPr>
          <w:rFonts w:hint="eastAsia" w:ascii="仿宋_GB2312" w:hAnsi="仿宋_GB2312" w:eastAsia="仿宋_GB2312" w:cs="仿宋_GB2312"/>
          <w:sz w:val="32"/>
          <w:szCs w:val="32"/>
          <w:lang w:val="zh-CN"/>
        </w:rPr>
      </w:pPr>
    </w:p>
    <w:p w14:paraId="5158C43F">
      <w:pPr>
        <w:spacing w:before="100" w:beforeLines="0" w:after="100" w:afterLines="0"/>
        <w:jc w:val="both"/>
        <w:rPr>
          <w:rFonts w:hint="eastAsia" w:ascii="仿宋_GB2312" w:hAnsi="仿宋_GB2312" w:eastAsia="仿宋_GB2312" w:cs="仿宋_GB2312"/>
          <w:sz w:val="32"/>
          <w:szCs w:val="32"/>
          <w:lang w:val="zh-CN"/>
        </w:rPr>
      </w:pPr>
    </w:p>
    <w:p w14:paraId="0DDD8BE7">
      <w:pPr>
        <w:spacing w:before="100" w:beforeLines="0" w:after="100" w:afterLines="0"/>
        <w:jc w:val="both"/>
        <w:rPr>
          <w:rFonts w:hint="eastAsia" w:ascii="仿宋_GB2312" w:hAnsi="仿宋_GB2312" w:eastAsia="仿宋_GB2312" w:cs="仿宋_GB2312"/>
          <w:sz w:val="32"/>
          <w:szCs w:val="32"/>
          <w:lang w:val="zh-CN"/>
        </w:rPr>
      </w:pPr>
    </w:p>
    <w:p w14:paraId="5BB99A93">
      <w:pPr>
        <w:spacing w:before="100" w:beforeLines="0" w:after="100" w:afterLines="0"/>
        <w:jc w:val="center"/>
        <w:rPr>
          <w:rFonts w:hint="eastAsia" w:ascii="黑体" w:hAnsi="黑体" w:eastAsia="黑体" w:cs="黑体"/>
          <w:sz w:val="44"/>
          <w:szCs w:val="44"/>
          <w:lang w:val="zh-CN"/>
        </w:rPr>
      </w:pPr>
      <w:r>
        <w:rPr>
          <w:rFonts w:hint="eastAsia" w:ascii="黑体" w:hAnsi="黑体" w:eastAsia="黑体" w:cs="黑体"/>
          <w:sz w:val="44"/>
          <w:szCs w:val="44"/>
          <w:lang w:val="zh-CN"/>
        </w:rPr>
        <w:t>2023年度</w:t>
      </w:r>
    </w:p>
    <w:p w14:paraId="7362B511">
      <w:pPr>
        <w:spacing w:before="100" w:beforeLines="0" w:after="100" w:afterLines="0"/>
        <w:jc w:val="center"/>
        <w:rPr>
          <w:rFonts w:hint="eastAsia" w:ascii="黑体" w:hAnsi="黑体" w:eastAsia="黑体" w:cs="黑体"/>
          <w:sz w:val="44"/>
          <w:szCs w:val="44"/>
          <w:lang w:val="zh-CN"/>
        </w:rPr>
      </w:pPr>
      <w:r>
        <w:rPr>
          <w:rFonts w:hint="eastAsia" w:ascii="黑体" w:hAnsi="黑体" w:eastAsia="黑体" w:cs="黑体"/>
          <w:sz w:val="44"/>
          <w:szCs w:val="44"/>
          <w:lang w:val="zh-CN"/>
        </w:rPr>
        <w:t>华池县教育局（汇总）部门决算</w:t>
      </w:r>
    </w:p>
    <w:p w14:paraId="3C008DBB">
      <w:pPr>
        <w:spacing w:before="100" w:beforeLines="0" w:after="100" w:afterLines="0"/>
        <w:jc w:val="center"/>
        <w:rPr>
          <w:rFonts w:hint="eastAsia" w:ascii="仿宋_GB2312" w:hAnsi="仿宋_GB2312" w:eastAsia="仿宋_GB2312" w:cs="仿宋_GB2312"/>
          <w:sz w:val="32"/>
          <w:szCs w:val="32"/>
          <w:lang w:val="zh-CN"/>
        </w:rPr>
      </w:pPr>
    </w:p>
    <w:p w14:paraId="49FB067F">
      <w:pPr>
        <w:spacing w:before="100" w:beforeLines="0" w:after="100" w:afterLines="0"/>
        <w:jc w:val="center"/>
        <w:rPr>
          <w:rFonts w:hint="eastAsia" w:ascii="仿宋_GB2312" w:hAnsi="仿宋_GB2312" w:eastAsia="仿宋_GB2312" w:cs="仿宋_GB2312"/>
          <w:sz w:val="32"/>
          <w:szCs w:val="32"/>
          <w:lang w:val="zh-CN"/>
        </w:rPr>
      </w:pPr>
    </w:p>
    <w:p w14:paraId="05AFF2BE">
      <w:pPr>
        <w:spacing w:before="100" w:beforeLines="0" w:after="100" w:afterLines="0"/>
        <w:jc w:val="center"/>
        <w:rPr>
          <w:rFonts w:hint="eastAsia" w:ascii="仿宋_GB2312" w:hAnsi="仿宋_GB2312" w:eastAsia="仿宋_GB2312" w:cs="仿宋_GB2312"/>
          <w:sz w:val="32"/>
          <w:szCs w:val="32"/>
          <w:lang w:val="zh-CN"/>
        </w:rPr>
      </w:pPr>
    </w:p>
    <w:p w14:paraId="2FB4DDD5">
      <w:pPr>
        <w:spacing w:before="100" w:beforeLines="0" w:after="100" w:afterLines="0"/>
        <w:jc w:val="center"/>
        <w:rPr>
          <w:rFonts w:hint="eastAsia" w:ascii="仿宋_GB2312" w:hAnsi="仿宋_GB2312" w:eastAsia="仿宋_GB2312" w:cs="仿宋_GB2312"/>
          <w:sz w:val="32"/>
          <w:szCs w:val="32"/>
          <w:lang w:val="zh-CN"/>
        </w:rPr>
      </w:pPr>
    </w:p>
    <w:p w14:paraId="5976D7C0">
      <w:pPr>
        <w:spacing w:before="100" w:beforeLines="0" w:after="100" w:afterLines="0"/>
        <w:jc w:val="center"/>
        <w:rPr>
          <w:rFonts w:hint="eastAsia" w:ascii="仿宋_GB2312" w:hAnsi="仿宋_GB2312" w:eastAsia="仿宋_GB2312" w:cs="仿宋_GB2312"/>
          <w:sz w:val="32"/>
          <w:szCs w:val="32"/>
          <w:lang w:val="zh-CN"/>
        </w:rPr>
      </w:pPr>
    </w:p>
    <w:p w14:paraId="1CD45383">
      <w:pPr>
        <w:spacing w:before="100" w:beforeLines="0" w:after="100" w:afterLines="0"/>
        <w:jc w:val="both"/>
        <w:rPr>
          <w:rFonts w:hint="eastAsia" w:ascii="仿宋_GB2312" w:hAnsi="仿宋_GB2312" w:eastAsia="仿宋_GB2312" w:cs="仿宋_GB2312"/>
          <w:sz w:val="32"/>
          <w:szCs w:val="32"/>
          <w:lang w:val="zh-CN"/>
        </w:rPr>
      </w:pPr>
    </w:p>
    <w:p w14:paraId="2720D306">
      <w:pPr>
        <w:spacing w:before="100" w:beforeLines="0" w:after="100" w:afterLines="0"/>
        <w:jc w:val="both"/>
        <w:rPr>
          <w:rFonts w:hint="eastAsia" w:ascii="仿宋_GB2312" w:hAnsi="仿宋_GB2312" w:eastAsia="仿宋_GB2312" w:cs="仿宋_GB2312"/>
          <w:sz w:val="32"/>
          <w:szCs w:val="32"/>
          <w:lang w:val="zh-CN"/>
        </w:rPr>
      </w:pPr>
    </w:p>
    <w:p w14:paraId="78578D05">
      <w:pPr>
        <w:spacing w:before="100" w:beforeLines="0" w:after="100" w:afterLines="0"/>
        <w:jc w:val="center"/>
        <w:rPr>
          <w:rFonts w:hint="eastAsia" w:ascii="仿宋_GB2312" w:hAnsi="仿宋_GB2312" w:eastAsia="仿宋_GB2312" w:cs="仿宋_GB2312"/>
          <w:sz w:val="32"/>
          <w:szCs w:val="32"/>
          <w:lang w:val="zh-CN"/>
        </w:rPr>
      </w:pPr>
    </w:p>
    <w:p w14:paraId="6BFEA2E8">
      <w:pPr>
        <w:spacing w:before="100" w:beforeLines="0" w:after="100" w:afterLines="0"/>
        <w:jc w:val="center"/>
        <w:rPr>
          <w:rFonts w:hint="eastAsia" w:ascii="仿宋_GB2312" w:hAnsi="仿宋_GB2312" w:eastAsia="仿宋_GB2312" w:cs="仿宋_GB2312"/>
          <w:sz w:val="32"/>
          <w:szCs w:val="32"/>
          <w:lang w:val="zh-CN"/>
        </w:rPr>
      </w:pPr>
    </w:p>
    <w:p w14:paraId="239841F2">
      <w:pPr>
        <w:spacing w:before="100" w:beforeLines="0" w:after="100" w:afterLines="0"/>
        <w:jc w:val="center"/>
        <w:rPr>
          <w:rFonts w:hint="eastAsia" w:ascii="仿宋_GB2312" w:hAnsi="仿宋_GB2312" w:eastAsia="仿宋_GB2312" w:cs="仿宋_GB2312"/>
          <w:sz w:val="32"/>
          <w:szCs w:val="32"/>
          <w:lang w:val="zh-CN"/>
        </w:rPr>
      </w:pPr>
    </w:p>
    <w:p w14:paraId="2866F69E">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目录</w:t>
      </w:r>
    </w:p>
    <w:p w14:paraId="6FF3FEC3">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4AC40D1F">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49C9AC11">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14:paraId="7953DC3E">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14:paraId="7DBF7237">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14:paraId="1C0AD3CA">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14:paraId="0033DA97">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14:paraId="02D8415E">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14:paraId="1ACF6C8B">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14:paraId="3A8C159F">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14:paraId="6D3117B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14:paraId="70E32BDB">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14:paraId="3B9192D0">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14:paraId="27929299">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14:paraId="2F33D218">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14:paraId="6930C8BA">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14:paraId="36B121EC">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14:paraId="476CC9ED">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14:paraId="29F716AC">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14:paraId="750C3CC7">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14:paraId="1B54951A">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14:paraId="1598F882">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14:paraId="4F0DE207">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九、财政拨款“三公”经费支出决算情况说明</w:t>
      </w:r>
    </w:p>
    <w:p w14:paraId="07E8B8FD">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14:paraId="2D5265A8">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14:paraId="525665FA">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14:paraId="3F5C82A4">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14:paraId="44DC9BCC">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14:paraId="30CD04E5">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14:paraId="197D1C95">
      <w:pPr>
        <w:spacing w:before="100" w:beforeLines="0" w:after="100" w:afterLines="0"/>
        <w:jc w:val="center"/>
        <w:rPr>
          <w:rFonts w:hint="eastAsia" w:ascii="仿宋_GB2312" w:hAnsi="仿宋_GB2312" w:eastAsia="仿宋_GB2312" w:cs="仿宋_GB2312"/>
          <w:sz w:val="32"/>
          <w:szCs w:val="32"/>
          <w:lang w:val="zh-CN"/>
        </w:rPr>
      </w:pPr>
    </w:p>
    <w:p w14:paraId="4B7BF6B7">
      <w:pPr>
        <w:spacing w:before="100" w:beforeLines="0" w:after="100" w:afterLines="0"/>
        <w:jc w:val="center"/>
        <w:rPr>
          <w:rFonts w:hint="eastAsia" w:ascii="仿宋_GB2312" w:hAnsi="仿宋_GB2312" w:eastAsia="仿宋_GB2312" w:cs="仿宋_GB2312"/>
          <w:sz w:val="32"/>
          <w:szCs w:val="32"/>
          <w:lang w:val="zh-CN"/>
        </w:rPr>
      </w:pPr>
    </w:p>
    <w:p w14:paraId="5DE1605F">
      <w:pPr>
        <w:spacing w:before="100" w:beforeLines="0" w:after="100" w:afterLines="0"/>
        <w:jc w:val="center"/>
        <w:rPr>
          <w:rFonts w:hint="eastAsia" w:ascii="仿宋_GB2312" w:hAnsi="仿宋_GB2312" w:eastAsia="仿宋_GB2312" w:cs="仿宋_GB2312"/>
          <w:sz w:val="32"/>
          <w:szCs w:val="32"/>
          <w:lang w:val="zh-CN"/>
        </w:rPr>
      </w:pPr>
    </w:p>
    <w:p w14:paraId="4F340D05">
      <w:pPr>
        <w:spacing w:before="100" w:beforeLines="0" w:after="100" w:afterLines="0"/>
        <w:jc w:val="center"/>
        <w:rPr>
          <w:rFonts w:hint="eastAsia" w:ascii="仿宋_GB2312" w:hAnsi="仿宋_GB2312" w:eastAsia="仿宋_GB2312" w:cs="仿宋_GB2312"/>
          <w:sz w:val="32"/>
          <w:szCs w:val="32"/>
          <w:lang w:val="zh-CN"/>
        </w:rPr>
      </w:pPr>
    </w:p>
    <w:p w14:paraId="1916557A">
      <w:pPr>
        <w:spacing w:before="100" w:beforeLines="0" w:after="100" w:afterLines="0"/>
        <w:jc w:val="center"/>
        <w:rPr>
          <w:rFonts w:hint="eastAsia" w:ascii="仿宋_GB2312" w:hAnsi="仿宋_GB2312" w:eastAsia="仿宋_GB2312" w:cs="仿宋_GB2312"/>
          <w:sz w:val="32"/>
          <w:szCs w:val="32"/>
          <w:lang w:val="zh-CN"/>
        </w:rPr>
      </w:pPr>
    </w:p>
    <w:p w14:paraId="32C69557">
      <w:pPr>
        <w:spacing w:before="100" w:beforeLines="0" w:after="100" w:afterLines="0"/>
        <w:jc w:val="center"/>
        <w:rPr>
          <w:rFonts w:hint="eastAsia" w:ascii="仿宋_GB2312" w:hAnsi="仿宋_GB2312" w:eastAsia="仿宋_GB2312" w:cs="仿宋_GB2312"/>
          <w:sz w:val="32"/>
          <w:szCs w:val="32"/>
          <w:lang w:val="zh-CN"/>
        </w:rPr>
      </w:pPr>
    </w:p>
    <w:p w14:paraId="5DB718E1">
      <w:pPr>
        <w:spacing w:before="100" w:beforeLines="0" w:after="100" w:afterLines="0"/>
        <w:jc w:val="center"/>
        <w:rPr>
          <w:rFonts w:hint="eastAsia" w:ascii="仿宋_GB2312" w:hAnsi="仿宋_GB2312" w:eastAsia="仿宋_GB2312" w:cs="仿宋_GB2312"/>
          <w:sz w:val="32"/>
          <w:szCs w:val="32"/>
          <w:lang w:val="zh-CN"/>
        </w:rPr>
      </w:pPr>
    </w:p>
    <w:p w14:paraId="3BB9CF4B">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265DE9B2">
      <w:pPr>
        <w:spacing w:before="100" w:beforeLines="0" w:after="100" w:afterLines="0"/>
        <w:jc w:val="left"/>
        <w:rPr>
          <w:rFonts w:hint="eastAsia" w:ascii="黑体" w:hAnsi="黑体" w:eastAsia="黑体" w:cs="黑体"/>
          <w:sz w:val="32"/>
          <w:szCs w:val="32"/>
          <w:lang w:val="zh-CN"/>
        </w:rPr>
      </w:pPr>
      <w:r>
        <w:rPr>
          <w:rFonts w:hint="eastAsia" w:ascii="黑体" w:hAnsi="黑体" w:eastAsia="黑体" w:cs="黑体"/>
          <w:sz w:val="32"/>
          <w:szCs w:val="32"/>
          <w:lang w:val="zh-CN"/>
        </w:rPr>
        <w:t>一、部门职责</w:t>
      </w:r>
    </w:p>
    <w:p w14:paraId="6AC7B3A5">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1.贯彻执行党和国家的教育方针、政策和法律、法规，研究拟订全县教育工作的有关规定并监督执行。</w:t>
      </w:r>
    </w:p>
    <w:p w14:paraId="24C492C9">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2.研究提出全县教育事业发展规划，拟定教育体制改革的方案并协调组织实施。</w:t>
      </w:r>
    </w:p>
    <w:p w14:paraId="2255A06E">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3.统筹管理全县基础教育（含学前教育）、职业教育与成人教育和扫除青壮年文盲工作；协调指导乡镇和县直有关部门的教育工作；组织进行教育督导与评估工作。</w:t>
      </w:r>
    </w:p>
    <w:p w14:paraId="3C81BB05">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4.统筹规划中小学（职业学校、教师进修学校、幼儿园）布局；会同有关部门负责社会力量举办学校的设立、撤并、更名的批报和审批工作。</w:t>
      </w:r>
    </w:p>
    <w:p w14:paraId="54724E40">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5.会同有关部门拟订筹措教育经费的管理规定，监测全县教育经费的筹措和使用情况；编报县级教育经费年度预算建议方案，监督直属学校（单位）教育事业费、基建投资和教育系统专项经费的执行情况。</w:t>
      </w:r>
    </w:p>
    <w:p w14:paraId="00CD6C89">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6.负责全县中小学、职业学校、教师进修学校、幼儿园校长（园长）、教师的管理工作，规划、指导全县各级各类教职工队伍建设；负责全县有关学校的教师资格认定，参与教师专业技术职务任职资格评审工作；指导学校内部管理体制改革；贯彻执行上级部门有关各级各类学校的机构编制标准；协同有关部门落实教育系统劳动工资及有关待遇和人事管理的有关政策规定。</w:t>
      </w:r>
    </w:p>
    <w:p w14:paraId="2CDBBC58">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7.按照管理权限，归口管理全县各类学历教育及其招生与考试工作；负责中小学、职业学校教育的学籍管理工作。</w:t>
      </w:r>
    </w:p>
    <w:p w14:paraId="47754E33">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8.归口管理全县师范类大中专毕业生就业指导和就业制度改革工作。</w:t>
      </w:r>
    </w:p>
    <w:p w14:paraId="69212C95">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9.规划指导全县教育科学、教学研究与改革；组织实施国家、省、市、县教改科研项目。推动科研成果的转化和推广。</w:t>
      </w:r>
    </w:p>
    <w:p w14:paraId="48F7E2E9">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10.承办县委、县政府交办的其他事项。</w:t>
      </w:r>
    </w:p>
    <w:p w14:paraId="7CC3C813">
      <w:pPr>
        <w:spacing w:before="100" w:beforeLines="0" w:after="100" w:afterLines="0"/>
        <w:jc w:val="left"/>
        <w:rPr>
          <w:rFonts w:hint="eastAsia" w:ascii="黑体" w:hAnsi="黑体" w:eastAsia="黑体" w:cs="黑体"/>
          <w:color w:val="auto"/>
          <w:sz w:val="32"/>
          <w:szCs w:val="32"/>
          <w:lang w:val="zh-CN"/>
        </w:rPr>
      </w:pPr>
      <w:r>
        <w:rPr>
          <w:rFonts w:hint="eastAsia" w:ascii="黑体" w:hAnsi="黑体" w:eastAsia="黑体" w:cs="黑体"/>
          <w:color w:val="auto"/>
          <w:sz w:val="32"/>
          <w:szCs w:val="32"/>
          <w:lang w:val="zh-CN"/>
        </w:rPr>
        <w:t>二、机构设置</w:t>
      </w:r>
    </w:p>
    <w:p w14:paraId="4A86625F">
      <w:pPr>
        <w:spacing w:before="100" w:beforeLines="0" w:after="100" w:afterLines="0"/>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学校建制情况：全县现有各级各类学校138所，其中高级中学1所，职业中专1所，十二年一贯制1所，九年一贯制3所，独立初中8所，完全小学41所，教学点52所,标准化幼儿园32所（含民办园4所）。占地面积105.74万平方米，校舍建筑面积36.59万平方米。</w:t>
      </w:r>
    </w:p>
    <w:p w14:paraId="44D43D0D">
      <w:pPr>
        <w:autoSpaceDE w:val="0"/>
        <w:spacing w:line="560" w:lineRule="exact"/>
        <w:ind w:firstLine="640" w:firstLineChars="200"/>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en-US" w:eastAsia="zh-CN"/>
        </w:rPr>
        <w:t>（二）人员情况：2023年，在校学生（含幼儿园）23842人，其中高级中学2420人，职业中专772人，初中5412人，小学10442人，幼儿园4854人。教职工2224人，专任教师2073人。</w:t>
      </w:r>
    </w:p>
    <w:p w14:paraId="766902C3">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14:paraId="6210B0F4">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14:paraId="2DDCC254">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14:paraId="1B309639">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14:paraId="167FAED3">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14:paraId="0CF4FD65">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14:paraId="61B3000D">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14:paraId="10E93921">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p>
    <w:p w14:paraId="547DED50">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14:paraId="0B3CD9AC">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p>
    <w:p w14:paraId="5A2B2D39">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14:paraId="6F2CF51E">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一、收入支出决算总体情况说明</w:t>
      </w:r>
    </w:p>
    <w:p w14:paraId="493D0124">
      <w:pPr>
        <w:spacing w:before="100" w:beforeLines="0" w:after="100" w:afterLines="0"/>
        <w:ind w:firstLine="640" w:firstLineChars="200"/>
        <w:jc w:val="left"/>
        <w:rPr>
          <w:rFonts w:hint="default" w:ascii="仿宋_GB2312" w:hAnsi="仿宋_GB2312" w:eastAsia="仿宋_GB2312" w:cs="仿宋_GB2312"/>
          <w:color w:val="FF0000"/>
          <w:sz w:val="32"/>
          <w:szCs w:val="32"/>
          <w:lang w:val="en-US" w:eastAsia="zh-CN"/>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w:t>
      </w:r>
      <w:bookmarkStart w:id="0" w:name="_GoBack"/>
      <w:r>
        <w:rPr>
          <w:rFonts w:hint="eastAsia" w:ascii="仿宋_GB2312" w:hAnsi="仿宋_GB2312" w:eastAsia="仿宋_GB2312" w:cs="仿宋_GB2312"/>
          <w:color w:val="auto"/>
          <w:sz w:val="32"/>
          <w:szCs w:val="32"/>
          <w:lang w:val="zh-CN"/>
        </w:rPr>
        <w:t>41646.02万元</w:t>
      </w:r>
      <w:bookmarkEnd w:id="0"/>
      <w:r>
        <w:rPr>
          <w:rFonts w:hint="eastAsia" w:ascii="仿宋_GB2312" w:hAnsi="仿宋_GB2312" w:eastAsia="仿宋_GB2312" w:cs="仿宋_GB2312"/>
          <w:color w:val="auto"/>
          <w:sz w:val="32"/>
          <w:szCs w:val="32"/>
          <w:lang w:val="zh-CN"/>
        </w:rPr>
        <w:t>。</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减少7650.25万元,下降15.52%</w:t>
      </w:r>
      <w:r>
        <w:rPr>
          <w:rFonts w:hint="eastAsia" w:ascii="仿宋_GB2312" w:hAnsi="仿宋_GB2312" w:eastAsia="仿宋_GB2312" w:cs="仿宋_GB2312"/>
          <w:color w:val="000000" w:themeColor="text1"/>
          <w:sz w:val="32"/>
          <w:szCs w:val="32"/>
          <w:lang w:val="zh-CN"/>
          <w14:textFill>
            <w14:solidFill>
              <w14:schemeClr w14:val="tx1"/>
            </w14:solidFill>
          </w14:textFill>
        </w:rPr>
        <w:t>,主要原因是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远转类和项目资金减少。</w:t>
      </w:r>
    </w:p>
    <w:p w14:paraId="149F5BDF">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二、收入决算情况说明</w:t>
      </w:r>
    </w:p>
    <w:p w14:paraId="7690BB7B">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2023年度收入合计41371.98万元,其中：财政拨款收入41371.98万元,占100.00%；</w:t>
      </w:r>
      <w:r>
        <w:rPr>
          <w:rFonts w:hint="eastAsia" w:ascii="仿宋_GB2312" w:hAnsi="仿宋_GB2312" w:eastAsia="仿宋_GB2312" w:cs="仿宋_GB2312"/>
          <w:color w:val="auto"/>
          <w:sz w:val="32"/>
          <w:szCs w:val="32"/>
          <w:lang w:val="en-US"/>
        </w:rPr>
        <w:t>上级补助</w:t>
      </w:r>
      <w:r>
        <w:rPr>
          <w:rFonts w:hint="eastAsia" w:ascii="仿宋_GB2312" w:hAnsi="仿宋_GB2312" w:eastAsia="仿宋_GB2312" w:cs="仿宋_GB2312"/>
          <w:color w:val="auto"/>
          <w:sz w:val="32"/>
          <w:szCs w:val="32"/>
          <w:lang w:val="zh-CN"/>
        </w:rPr>
        <w:t>收入0.00万元,占0.00%；</w:t>
      </w:r>
      <w:r>
        <w:rPr>
          <w:rFonts w:hint="eastAsia" w:ascii="仿宋_GB2312" w:hAnsi="仿宋_GB2312" w:eastAsia="仿宋_GB2312" w:cs="仿宋_GB2312"/>
          <w:color w:val="auto"/>
          <w:sz w:val="32"/>
          <w:szCs w:val="32"/>
          <w:lang w:val="en-US"/>
        </w:rPr>
        <w:t>事业</w:t>
      </w:r>
      <w:r>
        <w:rPr>
          <w:rFonts w:hint="eastAsia" w:ascii="仿宋_GB2312" w:hAnsi="仿宋_GB2312" w:eastAsia="仿宋_GB2312" w:cs="仿宋_GB2312"/>
          <w:color w:val="auto"/>
          <w:sz w:val="32"/>
          <w:szCs w:val="32"/>
          <w:lang w:val="zh-CN"/>
        </w:rPr>
        <w:t>收入0.00万元,占0.00%；</w:t>
      </w:r>
      <w:r>
        <w:rPr>
          <w:rFonts w:hint="eastAsia" w:ascii="仿宋_GB2312" w:hAnsi="仿宋_GB2312" w:eastAsia="仿宋_GB2312" w:cs="仿宋_GB2312"/>
          <w:color w:val="auto"/>
          <w:sz w:val="32"/>
          <w:szCs w:val="32"/>
          <w:lang w:val="en-US"/>
        </w:rPr>
        <w:t>经营</w:t>
      </w:r>
      <w:r>
        <w:rPr>
          <w:rFonts w:hint="eastAsia" w:ascii="仿宋_GB2312" w:hAnsi="仿宋_GB2312" w:eastAsia="仿宋_GB2312" w:cs="仿宋_GB2312"/>
          <w:color w:val="auto"/>
          <w:sz w:val="32"/>
          <w:szCs w:val="32"/>
          <w:lang w:val="zh-CN"/>
        </w:rPr>
        <w:t>收入0.00万元,占0.00%；</w:t>
      </w:r>
      <w:r>
        <w:rPr>
          <w:rFonts w:hint="eastAsia" w:ascii="仿宋_GB2312" w:hAnsi="仿宋_GB2312" w:eastAsia="仿宋_GB2312" w:cs="仿宋_GB2312"/>
          <w:color w:val="auto"/>
          <w:sz w:val="32"/>
          <w:szCs w:val="32"/>
          <w:lang w:val="en-US"/>
        </w:rPr>
        <w:t>附属单位上缴</w:t>
      </w:r>
      <w:r>
        <w:rPr>
          <w:rFonts w:hint="eastAsia" w:ascii="仿宋_GB2312" w:hAnsi="仿宋_GB2312" w:eastAsia="仿宋_GB2312" w:cs="仿宋_GB2312"/>
          <w:color w:val="auto"/>
          <w:sz w:val="32"/>
          <w:szCs w:val="32"/>
          <w:lang w:val="zh-CN"/>
        </w:rPr>
        <w:t>收入0.00万元,占0.00%；</w:t>
      </w:r>
      <w:r>
        <w:rPr>
          <w:rFonts w:hint="eastAsia" w:ascii="仿宋_GB2312" w:hAnsi="仿宋_GB2312" w:eastAsia="仿宋_GB2312" w:cs="仿宋_GB2312"/>
          <w:color w:val="auto"/>
          <w:sz w:val="32"/>
          <w:szCs w:val="32"/>
          <w:lang w:val="en-US"/>
        </w:rPr>
        <w:t>其他</w:t>
      </w:r>
      <w:r>
        <w:rPr>
          <w:rFonts w:hint="eastAsia" w:ascii="仿宋_GB2312" w:hAnsi="仿宋_GB2312" w:eastAsia="仿宋_GB2312" w:cs="仿宋_GB2312"/>
          <w:color w:val="auto"/>
          <w:sz w:val="32"/>
          <w:szCs w:val="32"/>
          <w:lang w:val="zh-CN"/>
        </w:rPr>
        <w:t>收入0.00万元,占0.00%；</w:t>
      </w:r>
    </w:p>
    <w:p w14:paraId="78E11DB0">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三、支出决算情况说明</w:t>
      </w:r>
    </w:p>
    <w:p w14:paraId="7FC1566A">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2023年度支出合计41645.22万元,其中：基本支出34882.72万元,占83.76%；项目支出6762.50万元,占16.24%；上缴上级支出0.00万元,占0.00%；经营支出0.00万元,占0.00%；对附属单位补助支出0.00万元,占0.00%。</w:t>
      </w:r>
    </w:p>
    <w:p w14:paraId="1771F44B">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四、</w:t>
      </w:r>
      <w:r>
        <w:rPr>
          <w:rFonts w:hint="eastAsia" w:ascii="黑体" w:hAnsi="黑体" w:eastAsia="黑体" w:cs="黑体"/>
          <w:b/>
          <w:bCs/>
          <w:color w:val="auto"/>
          <w:sz w:val="32"/>
          <w:szCs w:val="32"/>
          <w:lang w:val="zh-CN" w:eastAsia="zh-CN"/>
        </w:rPr>
        <w:t>财政拨款收入支出决算总体情况说明</w:t>
      </w:r>
    </w:p>
    <w:p w14:paraId="6A28A5D4">
      <w:pPr>
        <w:numPr>
          <w:ilvl w:val="0"/>
          <w:numId w:val="0"/>
        </w:num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2023年度财政拨款收、支总计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41645.22万元。与</w:t>
      </w:r>
      <w:r>
        <w:rPr>
          <w:rFonts w:hint="eastAsia" w:ascii="仿宋_GB2312" w:hAnsi="仿宋_GB2312" w:eastAsia="仿宋_GB2312" w:cs="仿宋_GB2312"/>
          <w:color w:val="auto"/>
          <w:sz w:val="32"/>
          <w:szCs w:val="32"/>
          <w:lang w:val="en-US"/>
        </w:rPr>
        <w:t>上</w:t>
      </w:r>
      <w:r>
        <w:rPr>
          <w:rFonts w:hint="eastAsia" w:ascii="仿宋_GB2312" w:hAnsi="仿宋_GB2312" w:eastAsia="仿宋_GB2312" w:cs="仿宋_GB2312"/>
          <w:color w:val="auto"/>
          <w:sz w:val="32"/>
          <w:szCs w:val="32"/>
          <w:lang w:val="zh-CN"/>
        </w:rPr>
        <w:t>年相比,各减少7090.28万元,下降14.55%。</w:t>
      </w:r>
    </w:p>
    <w:p w14:paraId="260206D3">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五、一般公共预算财政拨款支出决算情况说明</w:t>
      </w:r>
    </w:p>
    <w:p w14:paraId="65697ECF">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（一）一般公共预算财政拨款支出决算总体情况</w:t>
      </w:r>
    </w:p>
    <w:p w14:paraId="18963288">
      <w:pPr>
        <w:spacing w:before="100" w:beforeLines="0" w:after="100" w:afterLines="0"/>
        <w:ind w:firstLine="640"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auto"/>
          <w:sz w:val="32"/>
          <w:szCs w:val="32"/>
          <w:lang w:val="zh-CN"/>
        </w:rPr>
        <w:t>2023年度一般公共预算财政拨款支出41640.55万元,较上年决算数增加6114.09万元,增长17.21%。</w:t>
      </w:r>
      <w:r>
        <w:rPr>
          <w:rFonts w:hint="eastAsia" w:ascii="仿宋_GB2312" w:hAnsi="仿宋_GB2312" w:eastAsia="仿宋_GB2312" w:cs="仿宋_GB2312"/>
          <w:color w:val="000000" w:themeColor="text1"/>
          <w:sz w:val="32"/>
          <w:szCs w:val="32"/>
          <w:lang w:val="zh-CN"/>
          <w14:textFill>
            <w14:solidFill>
              <w14:schemeClr w14:val="tx1"/>
            </w14:solidFill>
          </w14:textFill>
        </w:rPr>
        <w:t>主要原因是主要原因是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补发了2022年度过渡期奖励性补贴。</w:t>
      </w:r>
    </w:p>
    <w:p w14:paraId="4C1F5D1F">
      <w:pPr>
        <w:numPr>
          <w:ilvl w:val="0"/>
          <w:numId w:val="1"/>
        </w:numPr>
        <w:spacing w:before="100" w:beforeLines="0" w:after="100" w:afterLine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一般公共预算财政拨款支出决算结构情况</w:t>
      </w:r>
    </w:p>
    <w:p w14:paraId="4C91EB58">
      <w:pPr>
        <w:numPr>
          <w:ilvl w:val="0"/>
          <w:numId w:val="0"/>
        </w:numPr>
        <w:spacing w:before="100" w:beforeLines="0" w:after="100" w:afterLines="0"/>
        <w:ind w:firstLine="640" w:firstLineChars="20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w:t>
      </w:r>
      <w:r>
        <w:rPr>
          <w:rFonts w:hint="eastAsia" w:ascii="仿宋_GB2312" w:hAnsi="仿宋_GB2312" w:eastAsia="仿宋_GB2312" w:cs="仿宋_GB2312"/>
          <w:color w:val="auto"/>
          <w:sz w:val="32"/>
          <w:szCs w:val="32"/>
          <w:lang w:val="zh-CN"/>
        </w:rPr>
        <w:t>41640.55万元，主要用于以下方面：一般公共服务支出2.59万元,占0.01%；教育支出37222.30万元,占89.39%；社会保障和就业支出2541.63万元,占6.1%；卫生健康支出1869.03万元,占4.49%。</w:t>
      </w:r>
    </w:p>
    <w:p w14:paraId="69E32BED">
      <w:pPr>
        <w:numPr>
          <w:ilvl w:val="0"/>
          <w:numId w:val="1"/>
        </w:numPr>
        <w:spacing w:before="100" w:beforeLines="0" w:after="100" w:afterLines="0"/>
        <w:ind w:left="0" w:leftChars="0" w:firstLine="0" w:firstLineChars="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一般公共预算财政拨款支出决算具体情况。</w:t>
      </w:r>
    </w:p>
    <w:p w14:paraId="41CB564E">
      <w:pPr>
        <w:numPr>
          <w:ilvl w:val="0"/>
          <w:numId w:val="0"/>
        </w:numPr>
        <w:spacing w:before="100" w:beforeLines="0" w:after="100" w:afterLines="0"/>
        <w:ind w:leftChars="0"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2023年度一般公共预算财政拨款支出年初预算为</w:t>
      </w:r>
      <w:r>
        <w:rPr>
          <w:rFonts w:hint="eastAsia" w:ascii="仿宋_GB2312" w:hAnsi="仿宋_GB2312" w:eastAsia="仿宋_GB2312" w:cs="仿宋_GB2312"/>
          <w:color w:val="auto"/>
          <w:sz w:val="32"/>
          <w:szCs w:val="32"/>
          <w:lang w:val="zh-CN"/>
        </w:rPr>
        <w:t>29873.04万元,支出决算为41640.55万元,完成年初预算的139.39%。其中：</w:t>
      </w:r>
    </w:p>
    <w:p w14:paraId="11AC8E3E">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1．一般公共服务支出</w:t>
      </w:r>
      <w:r>
        <w:rPr>
          <w:rFonts w:hint="eastAsia" w:ascii="仿宋_GB2312" w:hAnsi="仿宋_GB2312" w:eastAsia="仿宋_GB2312" w:cs="仿宋_GB2312"/>
          <w:color w:val="auto"/>
          <w:sz w:val="32"/>
          <w:szCs w:val="32"/>
          <w:lang w:val="zh-CN"/>
        </w:rPr>
        <w:t>年初预算数为0.00万元,支出决算为2.59万元,完成年初预算的%,决算数大于</w:t>
      </w:r>
      <w:r>
        <w:rPr>
          <w:rFonts w:hint="eastAsia" w:ascii="仿宋_GB2312" w:hAnsi="仿宋_GB2312" w:eastAsia="仿宋_GB2312" w:cs="仿宋_GB2312"/>
          <w:color w:val="000000" w:themeColor="text1"/>
          <w:sz w:val="32"/>
          <w:szCs w:val="32"/>
          <w:lang w:val="zh-CN"/>
          <w14:textFill>
            <w14:solidFill>
              <w14:schemeClr w14:val="tx1"/>
            </w14:solidFill>
          </w14:textFill>
        </w:rPr>
        <w:t>预算数的主要原因是无调整预算。</w:t>
      </w:r>
    </w:p>
    <w:p w14:paraId="64CA2BF7">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en-US" w:eastAsia="zh-CN"/>
        </w:rPr>
        <w:t>2</w:t>
      </w:r>
      <w:r>
        <w:rPr>
          <w:rFonts w:hint="eastAsia" w:ascii="仿宋_GB2312" w:hAnsi="仿宋_GB2312" w:eastAsia="仿宋_GB2312" w:cs="仿宋_GB2312"/>
          <w:b/>
          <w:color w:val="auto"/>
          <w:sz w:val="32"/>
          <w:szCs w:val="32"/>
          <w:lang w:val="zh-CN"/>
        </w:rPr>
        <w:t>．教育支出</w:t>
      </w:r>
      <w:r>
        <w:rPr>
          <w:rFonts w:hint="eastAsia" w:ascii="仿宋_GB2312" w:hAnsi="仿宋_GB2312" w:eastAsia="仿宋_GB2312" w:cs="仿宋_GB2312"/>
          <w:color w:val="auto"/>
          <w:sz w:val="32"/>
          <w:szCs w:val="32"/>
          <w:lang w:val="zh-CN"/>
        </w:rPr>
        <w:t>年初预算数为24724.05万元,支出决算为37222.30万元,完成年初预算的150.55%,决算数大于</w:t>
      </w:r>
      <w:r>
        <w:rPr>
          <w:rFonts w:hint="eastAsia" w:ascii="仿宋_GB2312" w:hAnsi="仿宋_GB2312" w:eastAsia="仿宋_GB2312" w:cs="仿宋_GB2312"/>
          <w:color w:val="000000" w:themeColor="text1"/>
          <w:sz w:val="32"/>
          <w:szCs w:val="32"/>
          <w:lang w:val="zh-CN"/>
          <w14:textFill>
            <w14:solidFill>
              <w14:schemeClr w14:val="tx1"/>
            </w14:solidFill>
          </w14:textFill>
        </w:rPr>
        <w:t>预算数的主要原因是无调整预算。</w:t>
      </w:r>
    </w:p>
    <w:p w14:paraId="7BBBE80C">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left"/>
        <w:textAlignment w:val="auto"/>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b/>
          <w:color w:val="auto"/>
          <w:sz w:val="32"/>
          <w:szCs w:val="32"/>
          <w:lang w:val="en-US" w:eastAsia="zh-CN"/>
        </w:rPr>
        <w:t>3</w:t>
      </w:r>
      <w:r>
        <w:rPr>
          <w:rFonts w:hint="eastAsia" w:ascii="仿宋_GB2312" w:hAnsi="仿宋_GB2312" w:eastAsia="仿宋_GB2312" w:cs="仿宋_GB2312"/>
          <w:b/>
          <w:color w:val="auto"/>
          <w:sz w:val="32"/>
          <w:szCs w:val="32"/>
          <w:lang w:val="zh-CN"/>
        </w:rPr>
        <w:t>．社会保障和就业支出</w:t>
      </w:r>
      <w:r>
        <w:rPr>
          <w:rFonts w:hint="eastAsia" w:ascii="仿宋_GB2312" w:hAnsi="仿宋_GB2312" w:eastAsia="仿宋_GB2312" w:cs="仿宋_GB2312"/>
          <w:color w:val="auto"/>
          <w:sz w:val="32"/>
          <w:szCs w:val="32"/>
          <w:lang w:val="zh-CN"/>
        </w:rPr>
        <w:t>年初预算数为3771.56万元,支出决算为2541.63万元,完成年初预算的67.39%,决算数小于预算数的主要原因是无调整预算。</w:t>
      </w:r>
    </w:p>
    <w:p w14:paraId="65941215">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en-US" w:eastAsia="zh-CN"/>
        </w:rPr>
        <w:t>4</w:t>
      </w:r>
      <w:r>
        <w:rPr>
          <w:rFonts w:hint="eastAsia" w:ascii="仿宋_GB2312" w:hAnsi="仿宋_GB2312" w:eastAsia="仿宋_GB2312" w:cs="仿宋_GB2312"/>
          <w:b/>
          <w:color w:val="auto"/>
          <w:sz w:val="32"/>
          <w:szCs w:val="32"/>
          <w:lang w:val="zh-CN"/>
        </w:rPr>
        <w:t>．卫生健康支出</w:t>
      </w:r>
      <w:r>
        <w:rPr>
          <w:rFonts w:hint="eastAsia" w:ascii="仿宋_GB2312" w:hAnsi="仿宋_GB2312" w:eastAsia="仿宋_GB2312" w:cs="仿宋_GB2312"/>
          <w:color w:val="auto"/>
          <w:sz w:val="32"/>
          <w:szCs w:val="32"/>
          <w:lang w:val="zh-CN"/>
        </w:rPr>
        <w:t>年初预算数为1377.42万元,支出决算为1869.03万元,完成年初预算的135.69%,决算数大于</w:t>
      </w:r>
      <w:r>
        <w:rPr>
          <w:rFonts w:hint="eastAsia" w:ascii="仿宋_GB2312" w:hAnsi="仿宋_GB2312" w:eastAsia="仿宋_GB2312" w:cs="仿宋_GB2312"/>
          <w:color w:val="000000" w:themeColor="text1"/>
          <w:sz w:val="32"/>
          <w:szCs w:val="32"/>
          <w:lang w:val="zh-CN"/>
          <w14:textFill>
            <w14:solidFill>
              <w14:schemeClr w14:val="tx1"/>
            </w14:solidFill>
          </w14:textFill>
        </w:rPr>
        <w:t>预算数的主要原因是无调整预算。</w:t>
      </w:r>
    </w:p>
    <w:p w14:paraId="224A2BF9">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六、一般公共预算财政拨款基本支出决算情况说明</w:t>
      </w:r>
    </w:p>
    <w:p w14:paraId="5F2D6B7D">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2023年度一般公共预算财政拨款基本支出34879.70万元。其中：</w:t>
      </w:r>
    </w:p>
    <w:p w14:paraId="1F9B9CC4">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left"/>
        <w:textAlignment w:val="auto"/>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32042.36万元,较上年决算数增加3661.51万元,增长12</w:t>
      </w:r>
      <w:r>
        <w:rPr>
          <w:rFonts w:hint="eastAsia" w:ascii="仿宋_GB2312" w:hAnsi="仿宋_GB2312" w:eastAsia="仿宋_GB2312" w:cs="仿宋_GB2312"/>
          <w:color w:val="000000" w:themeColor="text1"/>
          <w:sz w:val="32"/>
          <w:szCs w:val="32"/>
          <w:lang w:val="zh-CN"/>
          <w14:textFill>
            <w14:solidFill>
              <w14:schemeClr w14:val="tx1"/>
            </w14:solidFill>
          </w14:textFill>
        </w:rPr>
        <w:t>.9%,主要原因是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补发了2022年度过渡期奖励性补贴。</w:t>
      </w:r>
      <w:r>
        <w:rPr>
          <w:rFonts w:hint="eastAsia" w:ascii="仿宋_GB2312" w:hAnsi="仿宋_GB2312" w:eastAsia="仿宋_GB2312" w:cs="仿宋_GB2312"/>
          <w:color w:val="000000" w:themeColor="text1"/>
          <w:sz w:val="32"/>
          <w:szCs w:val="32"/>
          <w:lang w:val="zh-CN"/>
          <w14:textFill>
            <w14:solidFill>
              <w14:schemeClr w14:val="tx1"/>
            </w14:solidFill>
          </w14:textFill>
        </w:rPr>
        <w:t>(人员经费用途主要包括基本工资、津贴补贴、奖金、绩效工资、机关事业单位基本养老保险缴费、职业年金缴费、职工基本医疗保险缴费、其他社会保障缴费、其他工资福利支出、对个人和家庭的补助、抚恤金、生活补助、医疗费补助、助学金、奖励金。</w:t>
      </w:r>
    </w:p>
    <w:p w14:paraId="3FB6C64F">
      <w:pPr>
        <w:spacing w:before="100" w:beforeLines="0" w:after="100" w:afterLines="0"/>
        <w:ind w:firstLine="643"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公用经费</w:t>
      </w:r>
      <w:r>
        <w:rPr>
          <w:rFonts w:hint="eastAsia" w:ascii="仿宋_GB2312" w:hAnsi="仿宋_GB2312" w:eastAsia="仿宋_GB2312" w:cs="仿宋_GB2312"/>
          <w:color w:val="auto"/>
          <w:sz w:val="32"/>
          <w:szCs w:val="32"/>
          <w:lang w:val="zh-CN"/>
        </w:rPr>
        <w:t>2837.34万元,较上年决算数减少1943.21万元,下降40.65%,主要原因是项目支出减少。公用经费用途主要包括办公费、印刷费、咨询费、水费、电费、邮电费、取暖费、差旅费、维修（护）费、租赁费、会议费、培训费、公务接待费、专用材料费、劳务费、委托业务费、工会经费、福利费、其他交通费用、其他商品和服务支出、办公设备购置、专用设备购置、无形资产购置。</w:t>
      </w:r>
    </w:p>
    <w:p w14:paraId="67051242">
      <w:pPr>
        <w:numPr>
          <w:ilvl w:val="0"/>
          <w:numId w:val="2"/>
        </w:num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政府性基金预算财政拨款收支决算情况说明</w:t>
      </w:r>
    </w:p>
    <w:p w14:paraId="5743A5B2">
      <w:pPr>
        <w:numPr>
          <w:ilvl w:val="0"/>
          <w:numId w:val="0"/>
        </w:numPr>
        <w:spacing w:before="100" w:beforeLines="0" w:after="100" w:afterLines="0"/>
        <w:ind w:firstLine="640" w:firstLineChars="20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auto"/>
          <w:sz w:val="32"/>
          <w:szCs w:val="32"/>
          <w:lang w:val="zh-CN"/>
        </w:rPr>
        <w:t>2023年度政府性基金预算财政拨款年初结转和结余3.92万元,本年收入0.75万元,本年支出4.67万元,年末结转和结余0.00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color w:val="auto"/>
          <w:sz w:val="32"/>
          <w:szCs w:val="32"/>
          <w:lang w:val="zh-CN"/>
        </w:rPr>
        <w:t>。</w:t>
      </w:r>
    </w:p>
    <w:p w14:paraId="58BDF050">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八、国有资本经营预算财政拨款支出情况说明</w:t>
      </w:r>
    </w:p>
    <w:p w14:paraId="007422A7">
      <w:pPr>
        <w:numPr>
          <w:ilvl w:val="0"/>
          <w:numId w:val="0"/>
        </w:num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本部门2022年度没有使用国有资本经营预算安排的支出。</w:t>
      </w:r>
    </w:p>
    <w:p w14:paraId="6FD3D83A">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九</w:t>
      </w:r>
      <w:r>
        <w:rPr>
          <w:rFonts w:hint="eastAsia" w:ascii="黑体" w:hAnsi="黑体" w:eastAsia="黑体" w:cs="黑体"/>
          <w:b/>
          <w:bCs/>
          <w:color w:val="auto"/>
          <w:sz w:val="32"/>
          <w:szCs w:val="32"/>
          <w:lang w:val="zh-CN" w:eastAsia="zh-CN"/>
        </w:rPr>
        <w:t>、财政拨款“三公”经费支出决算情况说明</w:t>
      </w:r>
    </w:p>
    <w:p w14:paraId="3A41F049">
      <w:pPr>
        <w:numPr>
          <w:ilvl w:val="0"/>
          <w:numId w:val="0"/>
        </w:num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年度“三公”经费支出全年预算数为12000元,支出决算为8180元,决算数小于预算数的主要原因是无调整预算。</w:t>
      </w:r>
    </w:p>
    <w:p w14:paraId="3936B9AB">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(一)“三公”经费财政拨款支出总体情况说明</w:t>
      </w:r>
    </w:p>
    <w:p w14:paraId="3476E883">
      <w:pPr>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sz w:val="32"/>
          <w:szCs w:val="32"/>
          <w:lang w:val="zh-CN"/>
        </w:rPr>
        <w:t>公务接待费全年预算数为</w:t>
      </w:r>
      <w:r>
        <w:rPr>
          <w:rFonts w:hint="eastAsia" w:ascii="仿宋_GB2312" w:hAnsi="仿宋_GB2312" w:eastAsia="仿宋_GB2312" w:cs="仿宋_GB2312"/>
          <w:sz w:val="32"/>
          <w:szCs w:val="32"/>
          <w:lang w:val="en-US" w:eastAsia="zh-CN"/>
        </w:rPr>
        <w:t>1.36</w:t>
      </w:r>
      <w:r>
        <w:rPr>
          <w:rFonts w:hint="eastAsia" w:ascii="仿宋_GB2312" w:hAnsi="仿宋_GB2312" w:eastAsia="仿宋_GB2312" w:cs="仿宋_GB2312"/>
          <w:sz w:val="32"/>
          <w:szCs w:val="32"/>
          <w:lang w:val="zh-CN"/>
        </w:rPr>
        <w:t>万元,支出决算为0.00万元,决算数小于预算数的主要原因是</w:t>
      </w:r>
      <w:r>
        <w:rPr>
          <w:rFonts w:hint="eastAsia" w:ascii="仿宋_GB2312" w:hAnsi="仿宋_GB2312" w:eastAsia="仿宋_GB2312" w:cs="仿宋_GB2312"/>
          <w:sz w:val="32"/>
          <w:szCs w:val="32"/>
          <w:lang w:val="en-US" w:eastAsia="zh-CN"/>
        </w:rPr>
        <w:t>资金未支付</w:t>
      </w:r>
      <w:r>
        <w:rPr>
          <w:rFonts w:hint="eastAsia" w:ascii="仿宋_GB2312" w:hAnsi="仿宋_GB2312" w:eastAsia="仿宋_GB2312" w:cs="仿宋_GB2312"/>
          <w:sz w:val="32"/>
          <w:szCs w:val="32"/>
          <w:lang w:val="zh-CN"/>
        </w:rPr>
        <w:t>,较上年决算数减少0.82万元,下降100.0%,主要原因是(由部门根据实际</w:t>
      </w:r>
      <w:r>
        <w:rPr>
          <w:rFonts w:hint="eastAsia" w:ascii="仿宋_GB2312" w:hAnsi="仿宋_GB2312" w:eastAsia="仿宋_GB2312" w:cs="仿宋_GB2312"/>
          <w:sz w:val="32"/>
          <w:szCs w:val="32"/>
          <w:lang w:val="en-US" w:eastAsia="zh-CN"/>
        </w:rPr>
        <w:t>要求，逐年减少</w:t>
      </w:r>
      <w:r>
        <w:rPr>
          <w:rFonts w:hint="eastAsia" w:ascii="仿宋_GB2312" w:hAnsi="仿宋_GB2312" w:eastAsia="仿宋_GB2312" w:cs="仿宋_GB2312"/>
          <w:sz w:val="32"/>
          <w:szCs w:val="32"/>
          <w:lang w:val="zh-CN"/>
        </w:rPr>
        <w:t>)。</w:t>
      </w:r>
    </w:p>
    <w:p w14:paraId="6A348EC4">
      <w:pPr>
        <w:numPr>
          <w:ilvl w:val="0"/>
          <w:numId w:val="3"/>
        </w:numPr>
        <w:spacing w:before="100" w:beforeLines="0" w:after="100" w:afterLine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“三公”经费财政拨款支出决算具体情况说明</w:t>
      </w:r>
    </w:p>
    <w:p w14:paraId="6019D8C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ind w:left="0" w:right="0" w:firstLine="640" w:firstLineChars="200"/>
        <w:jc w:val="left"/>
        <w:textAlignment w:val="auto"/>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zh-CN"/>
        </w:rPr>
        <w:t>1.因公出国(境)费用全年预算数为0.00元,支出决算为0.00元。</w:t>
      </w:r>
    </w:p>
    <w:p w14:paraId="5FD541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ind w:left="0" w:right="0" w:firstLine="640" w:firstLineChars="200"/>
        <w:jc w:val="left"/>
        <w:textAlignment w:val="auto"/>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zh-CN"/>
        </w:rPr>
        <w:t>2.公务用车购置及运行维护费全年预算数为0.00元,支出决算为0.00元。</w:t>
      </w:r>
    </w:p>
    <w:p w14:paraId="30CCAF2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ind w:left="0" w:right="0" w:firstLine="640" w:firstLineChars="200"/>
        <w:jc w:val="left"/>
        <w:textAlignment w:val="auto"/>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zh-CN"/>
        </w:rPr>
        <w:t>其中：公务用车购置费全年预算数为0.00元,支出决算为0.00元。</w:t>
      </w:r>
    </w:p>
    <w:p w14:paraId="79087A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105" w:afterAutospacing="0"/>
        <w:ind w:left="0" w:right="0" w:firstLine="640" w:firstLineChars="200"/>
        <w:jc w:val="left"/>
        <w:textAlignment w:val="auto"/>
        <w:rPr>
          <w:rFonts w:hint="eastAsia" w:ascii="仿宋_GB2312" w:hAnsi="仿宋_GB2312" w:eastAsia="仿宋_GB2312" w:cs="仿宋_GB2312"/>
          <w:kern w:val="2"/>
          <w:sz w:val="32"/>
          <w:szCs w:val="32"/>
          <w:lang w:val="zh-CN"/>
        </w:rPr>
      </w:pPr>
      <w:r>
        <w:rPr>
          <w:rFonts w:hint="eastAsia" w:ascii="仿宋_GB2312" w:hAnsi="仿宋_GB2312" w:eastAsia="仿宋_GB2312" w:cs="仿宋_GB2312"/>
          <w:kern w:val="2"/>
          <w:sz w:val="32"/>
          <w:szCs w:val="32"/>
          <w:lang w:val="zh-CN"/>
        </w:rPr>
        <w:t>公务用车运行维护费全年预算数为0.00元,支出决算为0.00元。</w:t>
      </w:r>
    </w:p>
    <w:p w14:paraId="3DF7BADE">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kern w:val="2"/>
          <w:sz w:val="32"/>
          <w:szCs w:val="32"/>
          <w:lang w:val="zh-CN"/>
        </w:rPr>
        <w:t>3.</w:t>
      </w:r>
      <w:r>
        <w:rPr>
          <w:rFonts w:hint="eastAsia" w:ascii="仿宋_GB2312" w:hAnsi="仿宋_GB2312" w:eastAsia="仿宋_GB2312" w:cs="仿宋_GB2312"/>
          <w:sz w:val="32"/>
          <w:szCs w:val="32"/>
          <w:lang w:val="zh-CN"/>
        </w:rPr>
        <w:t>公务接待费全年预算数为</w:t>
      </w:r>
      <w:r>
        <w:rPr>
          <w:rFonts w:hint="eastAsia" w:ascii="仿宋_GB2312" w:hAnsi="仿宋_GB2312" w:eastAsia="仿宋_GB2312" w:cs="仿宋_GB2312"/>
          <w:sz w:val="32"/>
          <w:szCs w:val="32"/>
          <w:lang w:val="en-US" w:eastAsia="zh-CN"/>
        </w:rPr>
        <w:t>1.36</w:t>
      </w:r>
      <w:r>
        <w:rPr>
          <w:rFonts w:hint="eastAsia" w:ascii="仿宋_GB2312" w:hAnsi="仿宋_GB2312" w:eastAsia="仿宋_GB2312" w:cs="仿宋_GB2312"/>
          <w:sz w:val="32"/>
          <w:szCs w:val="32"/>
          <w:lang w:val="zh-CN"/>
        </w:rPr>
        <w:t>万元,支出决算为0.00万元,决算数小于预算数的主要原因是</w:t>
      </w:r>
      <w:r>
        <w:rPr>
          <w:rFonts w:hint="eastAsia" w:ascii="仿宋_GB2312" w:hAnsi="仿宋_GB2312" w:eastAsia="仿宋_GB2312" w:cs="仿宋_GB2312"/>
          <w:sz w:val="32"/>
          <w:szCs w:val="32"/>
          <w:lang w:val="en-US" w:eastAsia="zh-CN"/>
        </w:rPr>
        <w:t>资金未支付</w:t>
      </w:r>
      <w:r>
        <w:rPr>
          <w:rFonts w:hint="eastAsia" w:ascii="仿宋_GB2312" w:hAnsi="仿宋_GB2312" w:eastAsia="仿宋_GB2312" w:cs="仿宋_GB2312"/>
          <w:sz w:val="32"/>
          <w:szCs w:val="32"/>
          <w:lang w:val="zh-CN"/>
        </w:rPr>
        <w:t>,较上年决算数减少0.82万元,下降100.0%,主要原因是(由部门根据实际</w:t>
      </w:r>
      <w:r>
        <w:rPr>
          <w:rFonts w:hint="eastAsia" w:ascii="仿宋_GB2312" w:hAnsi="仿宋_GB2312" w:eastAsia="仿宋_GB2312" w:cs="仿宋_GB2312"/>
          <w:sz w:val="32"/>
          <w:szCs w:val="32"/>
          <w:lang w:val="en-US" w:eastAsia="zh-CN"/>
        </w:rPr>
        <w:t>要求，逐年减少</w:t>
      </w:r>
      <w:r>
        <w:rPr>
          <w:rFonts w:hint="eastAsia" w:ascii="仿宋_GB2312" w:hAnsi="仿宋_GB2312" w:eastAsia="仿宋_GB2312" w:cs="仿宋_GB2312"/>
          <w:sz w:val="32"/>
          <w:szCs w:val="32"/>
          <w:lang w:val="zh-CN"/>
        </w:rPr>
        <w:t>)。</w:t>
      </w:r>
    </w:p>
    <w:p w14:paraId="33D7B254">
      <w:pPr>
        <w:numPr>
          <w:ilvl w:val="0"/>
          <w:numId w:val="3"/>
        </w:numPr>
        <w:spacing w:before="100" w:beforeLines="0" w:after="100" w:afterLines="0"/>
        <w:ind w:left="0" w:leftChars="0" w:firstLine="0" w:firstLineChars="0"/>
        <w:jc w:val="left"/>
        <w:rPr>
          <w:rFonts w:hint="eastAsia" w:ascii="仿宋_GB2312" w:hAnsi="仿宋_GB2312" w:eastAsia="仿宋_GB2312" w:cs="仿宋_GB2312"/>
          <w:b/>
          <w:color w:val="auto"/>
          <w:sz w:val="32"/>
          <w:szCs w:val="32"/>
          <w:lang w:val="zh-CN"/>
        </w:rPr>
      </w:pPr>
      <w:r>
        <w:rPr>
          <w:rFonts w:hint="eastAsia" w:ascii="仿宋_GB2312" w:hAnsi="仿宋_GB2312" w:eastAsia="仿宋_GB2312" w:cs="仿宋_GB2312"/>
          <w:b/>
          <w:color w:val="auto"/>
          <w:sz w:val="32"/>
          <w:szCs w:val="32"/>
          <w:lang w:val="zh-CN"/>
        </w:rPr>
        <w:t>“三公”经费财政拨款支出决算实物量情况</w:t>
      </w:r>
    </w:p>
    <w:p w14:paraId="13A9D395">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w:t>
      </w:r>
      <w:r>
        <w:rPr>
          <w:rFonts w:hint="eastAsia" w:ascii="仿宋_GB2312" w:hAnsi="仿宋_GB2312" w:eastAsia="仿宋_GB2312" w:cs="仿宋_GB2312"/>
          <w:b/>
          <w:color w:val="auto"/>
          <w:sz w:val="32"/>
          <w:szCs w:val="32"/>
          <w:lang w:val="zh-CN"/>
        </w:rPr>
        <w:t>因公出国(境)</w:t>
      </w:r>
      <w:r>
        <w:rPr>
          <w:rFonts w:hint="eastAsia" w:ascii="仿宋_GB2312" w:hAnsi="仿宋_GB2312" w:eastAsia="仿宋_GB2312" w:cs="仿宋_GB2312"/>
          <w:color w:val="auto"/>
          <w:sz w:val="32"/>
          <w:szCs w:val="32"/>
          <w:lang w:val="zh-CN"/>
        </w:rPr>
        <w:t>共计个团组,人；</w:t>
      </w:r>
      <w:r>
        <w:rPr>
          <w:rFonts w:hint="eastAsia" w:ascii="仿宋_GB2312" w:hAnsi="仿宋_GB2312" w:eastAsia="仿宋_GB2312" w:cs="仿宋_GB2312"/>
          <w:b/>
          <w:color w:val="auto"/>
          <w:sz w:val="32"/>
          <w:szCs w:val="32"/>
          <w:lang w:val="zh-CN"/>
        </w:rPr>
        <w:t>公务用车购置</w:t>
      </w:r>
      <w:r>
        <w:rPr>
          <w:rFonts w:hint="eastAsia" w:ascii="仿宋_GB2312" w:hAnsi="仿宋_GB2312" w:eastAsia="仿宋_GB2312" w:cs="仿宋_GB2312"/>
          <w:color w:val="auto"/>
          <w:sz w:val="32"/>
          <w:szCs w:val="32"/>
          <w:lang w:val="zh-CN"/>
        </w:rPr>
        <w:t>辆,</w:t>
      </w:r>
      <w:r>
        <w:rPr>
          <w:rFonts w:hint="eastAsia" w:ascii="仿宋_GB2312" w:hAnsi="仿宋_GB2312" w:eastAsia="仿宋_GB2312" w:cs="仿宋_GB2312"/>
          <w:b/>
          <w:color w:val="auto"/>
          <w:sz w:val="32"/>
          <w:szCs w:val="32"/>
          <w:lang w:val="zh-CN"/>
        </w:rPr>
        <w:t>公务用车保有量</w:t>
      </w:r>
      <w:r>
        <w:rPr>
          <w:rFonts w:hint="eastAsia" w:ascii="仿宋_GB2312" w:hAnsi="仿宋_GB2312" w:eastAsia="仿宋_GB2312" w:cs="仿宋_GB2312"/>
          <w:color w:val="auto"/>
          <w:sz w:val="32"/>
          <w:szCs w:val="32"/>
          <w:lang w:val="zh-CN"/>
        </w:rPr>
        <w:t>为辆；</w:t>
      </w:r>
      <w:r>
        <w:rPr>
          <w:rFonts w:hint="eastAsia" w:ascii="仿宋_GB2312" w:hAnsi="仿宋_GB2312" w:eastAsia="仿宋_GB2312" w:cs="仿宋_GB2312"/>
          <w:b/>
          <w:color w:val="auto"/>
          <w:sz w:val="32"/>
          <w:szCs w:val="32"/>
          <w:lang w:val="zh-CN"/>
        </w:rPr>
        <w:t>国内公务接待</w:t>
      </w:r>
      <w:r>
        <w:rPr>
          <w:rFonts w:hint="eastAsia" w:ascii="仿宋_GB2312" w:hAnsi="仿宋_GB2312" w:eastAsia="仿宋_GB2312" w:cs="仿宋_GB2312"/>
          <w:color w:val="auto"/>
          <w:sz w:val="32"/>
          <w:szCs w:val="32"/>
          <w:lang w:val="zh-CN"/>
        </w:rPr>
        <w:t>批次人,其中：</w:t>
      </w:r>
      <w:r>
        <w:rPr>
          <w:rFonts w:hint="eastAsia" w:ascii="仿宋_GB2312" w:hAnsi="仿宋_GB2312" w:eastAsia="仿宋_GB2312" w:cs="仿宋_GB2312"/>
          <w:b/>
          <w:color w:val="auto"/>
          <w:sz w:val="32"/>
          <w:szCs w:val="32"/>
          <w:lang w:val="zh-CN"/>
        </w:rPr>
        <w:t>外事接待</w:t>
      </w:r>
      <w:r>
        <w:rPr>
          <w:rFonts w:hint="eastAsia" w:ascii="仿宋_GB2312" w:hAnsi="仿宋_GB2312" w:eastAsia="仿宋_GB2312" w:cs="仿宋_GB2312"/>
          <w:color w:val="auto"/>
          <w:sz w:val="32"/>
          <w:szCs w:val="32"/>
          <w:lang w:val="zh-CN"/>
        </w:rPr>
        <w:t>批次,人；</w:t>
      </w:r>
      <w:r>
        <w:rPr>
          <w:rFonts w:hint="eastAsia" w:ascii="仿宋_GB2312" w:hAnsi="仿宋_GB2312" w:eastAsia="仿宋_GB2312" w:cs="仿宋_GB2312"/>
          <w:b/>
          <w:color w:val="auto"/>
          <w:sz w:val="32"/>
          <w:szCs w:val="32"/>
          <w:lang w:val="zh-CN"/>
        </w:rPr>
        <w:t>国(境)外公务接待</w:t>
      </w:r>
      <w:r>
        <w:rPr>
          <w:rFonts w:hint="eastAsia" w:ascii="仿宋_GB2312" w:hAnsi="仿宋_GB2312" w:eastAsia="仿宋_GB2312" w:cs="仿宋_GB2312"/>
          <w:color w:val="auto"/>
          <w:sz w:val="32"/>
          <w:szCs w:val="32"/>
          <w:lang w:val="zh-CN"/>
        </w:rPr>
        <w:t>批次,人。</w:t>
      </w:r>
    </w:p>
    <w:p w14:paraId="7406AC2B">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十</w:t>
      </w:r>
      <w:r>
        <w:rPr>
          <w:rFonts w:hint="eastAsia" w:ascii="黑体" w:hAnsi="黑体" w:eastAsia="黑体" w:cs="黑体"/>
          <w:b/>
          <w:bCs/>
          <w:color w:val="auto"/>
          <w:sz w:val="32"/>
          <w:szCs w:val="32"/>
          <w:lang w:val="zh-CN" w:eastAsia="zh-CN"/>
        </w:rPr>
        <w:t>、机关运行经费支出情况说明</w:t>
      </w:r>
    </w:p>
    <w:p w14:paraId="2D10FB80">
      <w:pPr>
        <w:spacing w:before="100" w:beforeLines="0" w:after="100" w:afterLines="0"/>
        <w:ind w:firstLine="640"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auto"/>
          <w:sz w:val="32"/>
          <w:szCs w:val="32"/>
          <w:lang w:val="zh-CN"/>
        </w:rPr>
        <w:t>2</w:t>
      </w:r>
      <w:r>
        <w:rPr>
          <w:rFonts w:hint="eastAsia" w:ascii="仿宋_GB2312" w:hAnsi="仿宋_GB2312" w:eastAsia="仿宋_GB2312" w:cs="仿宋_GB2312"/>
          <w:color w:val="000000" w:themeColor="text1"/>
          <w:sz w:val="32"/>
          <w:szCs w:val="32"/>
          <w:lang w:val="zh-CN"/>
          <w14:textFill>
            <w14:solidFill>
              <w14:schemeClr w14:val="tx1"/>
            </w14:solidFill>
          </w14:textFill>
        </w:rPr>
        <w:t>023年度本部门机关运行经费支出876.32万元,机关运行经费主要用于开支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单位正常办公，东西部协作资金支付</w:t>
      </w:r>
      <w:r>
        <w:rPr>
          <w:rFonts w:hint="eastAsia" w:ascii="仿宋_GB2312" w:hAnsi="仿宋_GB2312" w:eastAsia="仿宋_GB2312" w:cs="仿宋_GB2312"/>
          <w:color w:val="000000" w:themeColor="text1"/>
          <w:sz w:val="32"/>
          <w:szCs w:val="32"/>
          <w:lang w:val="zh-CN"/>
          <w14:textFill>
            <w14:solidFill>
              <w14:schemeClr w14:val="tx1"/>
            </w14:solidFill>
          </w14:textFill>
        </w:rPr>
        <w:t>。机关运行经费较上年决算数增加711.97万元,增长433.2%,主要原因是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东西部资金支付学生用床采购和教师能力提升</w:t>
      </w:r>
      <w:r>
        <w:rPr>
          <w:rFonts w:hint="eastAsia" w:ascii="仿宋_GB2312" w:hAnsi="仿宋_GB2312" w:eastAsia="仿宋_GB2312" w:cs="仿宋_GB2312"/>
          <w:color w:val="000000" w:themeColor="text1"/>
          <w:sz w:val="32"/>
          <w:szCs w:val="32"/>
          <w:lang w:val="zh-CN"/>
          <w14:textFill>
            <w14:solidFill>
              <w14:schemeClr w14:val="tx1"/>
            </w14:solidFill>
          </w14:textFill>
        </w:rPr>
        <w:t>增加。</w:t>
      </w:r>
    </w:p>
    <w:p w14:paraId="49DA1444">
      <w:pPr>
        <w:spacing w:before="100" w:beforeLines="0" w:after="100" w:afterLines="0"/>
        <w:ind w:firstLine="640"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本年度会议费支出0.00万元,较上年决算数减少0.02万元,主要原因是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会议次数减少。</w:t>
      </w:r>
      <w:r>
        <w:rPr>
          <w:rFonts w:hint="eastAsia" w:ascii="仿宋_GB2312" w:hAnsi="仿宋_GB2312" w:eastAsia="仿宋_GB2312" w:cs="仿宋_GB2312"/>
          <w:color w:val="000000" w:themeColor="text1"/>
          <w:sz w:val="32"/>
          <w:szCs w:val="32"/>
          <w:lang w:val="zh-CN"/>
          <w14:textFill>
            <w14:solidFill>
              <w14:schemeClr w14:val="tx1"/>
            </w14:solidFill>
          </w14:textFill>
        </w:rPr>
        <w:t>本年度培训费支出38.21万元,较上年决算数增加5.8万元,增长17.89%,主要原因是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外出培训增加</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14:paraId="2A8AB1CA">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十一、政府采购支出情况说明</w:t>
      </w:r>
    </w:p>
    <w:p w14:paraId="46E0C1FE">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本部门政府采购支出合计811.64万元,其中：政府采购货物支出784.83万元、政府采购工程支出21.69万元、政府采购服务支出5.13万元。授予中小企业合同金额474.74万元,占政府采购支出总额的58.49%,其中：授予小微企业合同金额474.74万元,占政府采购支出总额的58.49%。</w:t>
      </w:r>
    </w:p>
    <w:p w14:paraId="298F3E5B">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十二</w:t>
      </w:r>
      <w:r>
        <w:rPr>
          <w:rFonts w:hint="eastAsia" w:ascii="黑体" w:hAnsi="黑体" w:eastAsia="黑体" w:cs="黑体"/>
          <w:b/>
          <w:bCs/>
          <w:color w:val="auto"/>
          <w:sz w:val="32"/>
          <w:szCs w:val="32"/>
          <w:lang w:val="zh-CN" w:eastAsia="zh-CN"/>
        </w:rPr>
        <w:t>、国有资产占用情况说明</w:t>
      </w:r>
    </w:p>
    <w:p w14:paraId="449506DB">
      <w:pPr>
        <w:keepNext w:val="0"/>
        <w:keepLines w:val="0"/>
        <w:pageBreakBefore w:val="0"/>
        <w:widowControl/>
        <w:kinsoku/>
        <w:wordWrap/>
        <w:overflowPunct/>
        <w:topLinePunct w:val="0"/>
        <w:autoSpaceDE/>
        <w:autoSpaceDN/>
        <w:bidi w:val="0"/>
        <w:adjustRightInd/>
        <w:snapToGrid/>
        <w:spacing w:before="100" w:beforeLines="0" w:after="100" w:afterLines="0"/>
        <w:ind w:firstLine="640" w:firstLineChars="200"/>
        <w:jc w:val="left"/>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截至2023年12月31日,本部门共有车辆3辆,其中,副部(省)级及以上领导用车0辆、主要领导干部用车0辆、机要通信用车0辆、应急保障用车0辆、执法执勤用车0辆,特种专业技术用车0辆,离退休干部用车0辆,其他用车3辆,其他用车主要是用于</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学生接送</w:t>
      </w:r>
      <w:r>
        <w:rPr>
          <w:rFonts w:hint="eastAsia" w:ascii="仿宋_GB2312" w:hAnsi="仿宋_GB2312" w:eastAsia="仿宋_GB2312" w:cs="仿宋_GB2312"/>
          <w:color w:val="000000" w:themeColor="text1"/>
          <w:sz w:val="32"/>
          <w:szCs w:val="32"/>
          <w:lang w:val="zh-CN"/>
          <w14:textFill>
            <w14:solidFill>
              <w14:schemeClr w14:val="tx1"/>
            </w14:solidFill>
          </w14:textFill>
        </w:rPr>
        <w:t>。单价100万元(含)以上设备5台(套)。</w:t>
      </w:r>
    </w:p>
    <w:p w14:paraId="4A3A9202">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十三、其他需要说明的情况</w:t>
      </w:r>
    </w:p>
    <w:p w14:paraId="4CB9096C">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14:paraId="0E755888">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p>
    <w:p w14:paraId="2DF3EA28">
      <w:pPr>
        <w:spacing w:before="100" w:beforeLines="0" w:after="100" w:afterLines="0"/>
        <w:jc w:val="center"/>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14:paraId="77EEFB1D">
      <w:pPr>
        <w:jc w:val="both"/>
        <w:rPr>
          <w:rFonts w:hint="eastAsia" w:ascii="黑体" w:hAnsi="黑体" w:eastAsia="黑体" w:cs="黑体"/>
          <w:b/>
          <w:bCs/>
          <w:color w:val="000000" w:themeColor="text1"/>
          <w:sz w:val="32"/>
          <w:szCs w:val="32"/>
          <w:lang w:val="zh-CN"/>
          <w14:textFill>
            <w14:solidFill>
              <w14:schemeClr w14:val="tx1"/>
            </w14:solidFill>
          </w14:textFill>
        </w:rPr>
      </w:pPr>
      <w:r>
        <w:rPr>
          <w:rFonts w:hint="eastAsia" w:ascii="黑体" w:hAnsi="黑体" w:eastAsia="黑体" w:cs="黑体"/>
          <w:b/>
          <w:bCs/>
          <w:color w:val="000000" w:themeColor="text1"/>
          <w:sz w:val="32"/>
          <w:szCs w:val="32"/>
          <w:lang w:val="en-US" w:eastAsia="zh-CN"/>
          <w14:textFill>
            <w14:solidFill>
              <w14:schemeClr w14:val="tx1"/>
            </w14:solidFill>
          </w14:textFill>
        </w:rPr>
        <w:t>一、</w:t>
      </w:r>
      <w:r>
        <w:rPr>
          <w:rFonts w:hint="eastAsia" w:ascii="黑体" w:hAnsi="黑体" w:eastAsia="黑体" w:cs="黑体"/>
          <w:b/>
          <w:bCs/>
          <w:color w:val="000000" w:themeColor="text1"/>
          <w:sz w:val="32"/>
          <w:szCs w:val="32"/>
          <w:lang w:val="zh-CN"/>
          <w14:textFill>
            <w14:solidFill>
              <w14:schemeClr w14:val="tx1"/>
            </w14:solidFill>
          </w14:textFill>
        </w:rPr>
        <w:t>预算绩效管理工作开展情况</w:t>
      </w:r>
    </w:p>
    <w:p w14:paraId="205C9ADE">
      <w:pPr>
        <w:numPr>
          <w:ilvl w:val="0"/>
          <w:numId w:val="0"/>
        </w:num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根据预算绩效管理要求,本部门对202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年度一般公共预算项目支出全面开展绩效自评,其中,一级项目1个,二级项目0个,共涉及资金41646.02万元,占一般公共预算项目支出总额的100%。对202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年度0个政府性基金预算项目开展绩效自评,共涉及资金0元,占政府性基金预算项目支出总额的0%。组织对202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年度0个国有资本经营预算项目开展绩效自评,共涉及资金0元,占国有资本经营预算项目支出总额的0%。组织对“教育系统整体支出”项目开展了部门评价,涉及一般公共预算支出41646.02万元,政府性基金预算支出0元,国有资本经营预算支出0元。从评价情况来看,评价结果为优。</w:t>
      </w:r>
    </w:p>
    <w:p w14:paraId="6D7732B5">
      <w:pPr>
        <w:numPr>
          <w:ilvl w:val="0"/>
          <w:numId w:val="0"/>
        </w:numPr>
        <w:jc w:val="left"/>
        <w:rPr>
          <w:rFonts w:hint="eastAsia" w:ascii="黑体" w:hAnsi="黑体" w:eastAsia="黑体" w:cs="黑体"/>
          <w:sz w:val="32"/>
          <w:szCs w:val="32"/>
          <w:lang w:val="zh-CN"/>
        </w:rPr>
      </w:pPr>
      <w:r>
        <w:rPr>
          <w:rFonts w:hint="eastAsia" w:ascii="黑体" w:hAnsi="黑体" w:eastAsia="黑体" w:cs="黑体"/>
          <w:sz w:val="32"/>
          <w:szCs w:val="32"/>
          <w:lang w:val="en-US" w:eastAsia="zh-CN"/>
        </w:rPr>
        <w:t>二、</w:t>
      </w:r>
      <w:r>
        <w:rPr>
          <w:rFonts w:hint="eastAsia" w:ascii="黑体" w:hAnsi="黑体" w:eastAsia="黑体" w:cs="黑体"/>
          <w:sz w:val="32"/>
          <w:szCs w:val="32"/>
          <w:lang w:val="zh-CN"/>
        </w:rPr>
        <w:t>绩效自评结果</w:t>
      </w:r>
    </w:p>
    <w:p w14:paraId="3677D088">
      <w:pPr>
        <w:numPr>
          <w:ilvl w:val="0"/>
          <w:numId w:val="0"/>
        </w:num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我部门在20</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lang w:val="zh-CN"/>
        </w:rPr>
        <w:t>年度部门决算中反映教育系统整体支出项目绩效自评结果。教育系统整体支出项目绩效自评情况：根据年初设定的绩效目标,项目绩效自评得分为99分。项目全年预算数为41646.02万元,执行数为41646.02万元,完成预算的100%。项目绩效目标完成情况：一是保障了各学校的正常运转；二是完善了学校的基本设施。发现的主要问题及原因：部分学校基础设施有待进一步完善。下一步改进措施：尽可能完善学校基础设施。教育系统整体支出项目绩效自评情况：优。</w:t>
      </w:r>
    </w:p>
    <w:p w14:paraId="7C0CA364">
      <w:pPr>
        <w:jc w:val="both"/>
        <w:rPr>
          <w:rFonts w:hint="eastAsia" w:ascii="黑体" w:hAnsi="黑体" w:eastAsia="黑体" w:cs="黑体"/>
          <w:b/>
          <w:bCs/>
          <w:color w:val="000000" w:themeColor="text1"/>
          <w:sz w:val="32"/>
          <w:szCs w:val="32"/>
          <w:lang w:val="zh-CN"/>
          <w14:textFill>
            <w14:solidFill>
              <w14:schemeClr w14:val="tx1"/>
            </w14:solidFill>
          </w14:textFill>
        </w:rPr>
      </w:pPr>
      <w:r>
        <w:rPr>
          <w:rFonts w:hint="eastAsia" w:ascii="黑体" w:hAnsi="黑体" w:eastAsia="黑体" w:cs="黑体"/>
          <w:b/>
          <w:bCs/>
          <w:color w:val="000000" w:themeColor="text1"/>
          <w:sz w:val="32"/>
          <w:szCs w:val="32"/>
          <w:lang w:val="zh-CN"/>
          <w14:textFill>
            <w14:solidFill>
              <w14:schemeClr w14:val="tx1"/>
            </w14:solidFill>
          </w14:textFill>
        </w:rPr>
        <w:t>三、部门绩效评价结果</w:t>
      </w:r>
    </w:p>
    <w:p w14:paraId="38DCC09B">
      <w:pPr>
        <w:numPr>
          <w:ilvl w:val="0"/>
          <w:numId w:val="0"/>
        </w:num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见附件</w:t>
      </w:r>
    </w:p>
    <w:p w14:paraId="1A3D8067">
      <w:pPr>
        <w:spacing w:before="100" w:beforeLines="0" w:after="100" w:afterLines="0"/>
        <w:jc w:val="center"/>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第五部分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名词解释</w:t>
      </w:r>
    </w:p>
    <w:p w14:paraId="1764E0A3">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一、财政拨款收入：</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14:paraId="169102C6">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14:paraId="589607B0">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14:paraId="5F48F661">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14:paraId="04798E76">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b w:val="0"/>
          <w:bCs w:val="0"/>
          <w:color w:val="auto"/>
          <w:sz w:val="32"/>
          <w:szCs w:val="32"/>
          <w:lang w:val="zh-CN"/>
        </w:rPr>
      </w:pPr>
      <w:r>
        <w:rPr>
          <w:rFonts w:hint="eastAsia" w:ascii="黑体" w:hAnsi="黑体" w:eastAsia="黑体" w:cs="黑体"/>
          <w:b/>
          <w:bCs/>
          <w:color w:val="auto"/>
          <w:sz w:val="32"/>
          <w:szCs w:val="32"/>
          <w:lang w:val="zh-CN" w:eastAsia="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14:paraId="5E544629">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14:paraId="67AEF700">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14:paraId="0841C60D">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14:paraId="412F5D47">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14:paraId="2199970A">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14:paraId="3D03D295">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14:paraId="60C212EF">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6DB0EF30">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6E2DB1B4">
      <w:pPr>
        <w:keepNext w:val="0"/>
        <w:keepLines w:val="0"/>
        <w:pageBreakBefore w:val="0"/>
        <w:widowControl/>
        <w:kinsoku/>
        <w:wordWrap/>
        <w:overflowPunct/>
        <w:topLinePunct w:val="0"/>
        <w:autoSpaceDE/>
        <w:autoSpaceDN/>
        <w:bidi w:val="0"/>
        <w:adjustRightInd/>
        <w:snapToGrid/>
        <w:spacing w:before="100" w:beforeLines="0" w:after="100" w:afterLines="0"/>
        <w:ind w:firstLine="643" w:firstLineChars="200"/>
        <w:jc w:val="both"/>
        <w:textAlignment w:val="auto"/>
        <w:rPr>
          <w:rFonts w:hint="eastAsia" w:ascii="仿宋_GB2312" w:hAnsi="仿宋_GB2312" w:eastAsia="仿宋_GB2312" w:cs="仿宋_GB2312"/>
          <w:color w:val="auto"/>
          <w:sz w:val="32"/>
          <w:szCs w:val="32"/>
          <w:lang w:val="zh-CN"/>
        </w:rPr>
      </w:pPr>
      <w:r>
        <w:rPr>
          <w:rFonts w:hint="eastAsia" w:ascii="黑体" w:hAnsi="黑体" w:eastAsia="黑体" w:cs="黑体"/>
          <w:b/>
          <w:bCs/>
          <w:color w:val="auto"/>
          <w:sz w:val="32"/>
          <w:szCs w:val="32"/>
          <w:lang w:val="zh-CN" w:eastAsia="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p>
    <w:p w14:paraId="482C6227">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79FEF3"/>
    <w:multiLevelType w:val="singleLevel"/>
    <w:tmpl w:val="AB79FEF3"/>
    <w:lvl w:ilvl="0" w:tentative="0">
      <w:start w:val="7"/>
      <w:numFmt w:val="chineseCounting"/>
      <w:suff w:val="nothing"/>
      <w:lvlText w:val="%1、"/>
      <w:lvlJc w:val="left"/>
      <w:rPr>
        <w:rFonts w:hint="eastAsia"/>
      </w:rPr>
    </w:lvl>
  </w:abstractNum>
  <w:abstractNum w:abstractNumId="1">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2">
    <w:nsid w:val="0053208E"/>
    <w:multiLevelType w:val="singleLevel"/>
    <w:tmpl w:val="0053208E"/>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zNzQxZWE2NjNmMmU4MGU2NmI2NDc5MzQ5MTE0Y2EifQ=="/>
  </w:docVars>
  <w:rsids>
    <w:rsidRoot w:val="00000000"/>
    <w:rsid w:val="04106499"/>
    <w:rsid w:val="126F1CDD"/>
    <w:rsid w:val="2A665688"/>
    <w:rsid w:val="62D1351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rPr>
      <w:sz w:val="32"/>
    </w:rPr>
  </w:style>
  <w:style w:type="paragraph" w:styleId="3">
    <w:name w:val="Body Text First Indent"/>
    <w:basedOn w:val="2"/>
    <w:qFormat/>
    <w:uiPriority w:val="0"/>
    <w:pPr>
      <w:spacing w:line="500" w:lineRule="exact"/>
      <w:ind w:firstLine="420"/>
    </w:pPr>
    <w:rPr>
      <w:sz w:val="28"/>
      <w:szCs w:val="20"/>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table" w:styleId="6">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4cda65ce-a637-4204-b92c-2963af4da602}">
  <ds:schemaRefs/>
</ds:datastoreItem>
</file>

<file path=customXml/itemProps2.xml><?xml version="1.0" encoding="utf-8"?>
<ds:datastoreItem xmlns:ds="http://schemas.openxmlformats.org/officeDocument/2006/customXml" ds:itemID="{0dc0ba24-917a-4f45-bc8f-a4434dd74016}">
  <ds:schemaRefs/>
</ds:datastoreItem>
</file>

<file path=customXml/itemProps3.xml><?xml version="1.0" encoding="utf-8"?>
<ds:datastoreItem xmlns:ds="http://schemas.openxmlformats.org/officeDocument/2006/customXml" ds:itemID="{5e47454d-0a39-49a3-9405-cb46462f32de}">
  <ds:schemaRefs/>
</ds:datastoreItem>
</file>

<file path=customXml/itemProps4.xml><?xml version="1.0" encoding="utf-8"?>
<ds:datastoreItem xmlns:ds="http://schemas.openxmlformats.org/officeDocument/2006/customXml" ds:itemID="{ebbac1ea-877f-4050-a45b-83d4b361e346}">
  <ds:schemaRefs/>
</ds:datastoreItem>
</file>

<file path=customXml/itemProps5.xml><?xml version="1.0" encoding="utf-8"?>
<ds:datastoreItem xmlns:ds="http://schemas.openxmlformats.org/officeDocument/2006/customXml" ds:itemID="{26bb0936-3621-469b-9b60-0658c20ed819}">
  <ds:schemaRefs/>
</ds:datastoreItem>
</file>

<file path=customXml/itemProps6.xml><?xml version="1.0" encoding="utf-8"?>
<ds:datastoreItem xmlns:ds="http://schemas.openxmlformats.org/officeDocument/2006/customXml" ds:itemID="{afdc9ef7-a157-46f2-b1b9-60976ec1651c}">
  <ds:schemaRefs/>
</ds:datastoreItem>
</file>

<file path=customXml/itemProps7.xml><?xml version="1.0" encoding="utf-8"?>
<ds:datastoreItem xmlns:ds="http://schemas.openxmlformats.org/officeDocument/2006/customXml" ds:itemID="{1f87e42a-81ee-466d-83c9-8a7e4ab66231}">
  <ds:schemaRefs/>
</ds:datastoreItem>
</file>

<file path=customXml/itemProps8.xml><?xml version="1.0" encoding="utf-8"?>
<ds:datastoreItem xmlns:ds="http://schemas.openxmlformats.org/officeDocument/2006/customXml" ds:itemID="{bc53d85a-9a7c-4ba6-96cf-307cc17220e9}">
  <ds:schemaRefs/>
</ds:datastoreItem>
</file>

<file path=customXml/itemProps9.xml><?xml version="1.0" encoding="utf-8"?>
<ds:datastoreItem xmlns:ds="http://schemas.openxmlformats.org/officeDocument/2006/customXml" ds:itemID="{22618040-8366-4c4a-b607-22bfa87f55d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5144</Words>
  <Characters>5798</Characters>
  <Lines>0</Lines>
  <Paragraphs>0</Paragraphs>
  <TotalTime>18</TotalTime>
  <ScaleCrop>false</ScaleCrop>
  <LinksUpToDate>false</LinksUpToDate>
  <CharactersWithSpaces>5802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賣聿人</cp:lastModifiedBy>
  <dcterms:modified xsi:type="dcterms:W3CDTF">2024-09-18T08:08:29Z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