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69F14">
      <w:pPr>
        <w:spacing w:before="100" w:beforeLines="0" w:after="100" w:afterLines="0"/>
        <w:jc w:val="center"/>
        <w:rPr>
          <w:rFonts w:hint="eastAsia" w:ascii="仿宋" w:hAnsi="仿宋" w:eastAsia="仿宋" w:cs="仿宋"/>
          <w:sz w:val="32"/>
          <w:szCs w:val="32"/>
          <w:lang w:val="zh-CN"/>
        </w:rPr>
      </w:pPr>
    </w:p>
    <w:p w14:paraId="45850352">
      <w:pPr>
        <w:spacing w:before="100" w:beforeLines="0" w:after="100" w:afterLines="0"/>
        <w:jc w:val="center"/>
        <w:rPr>
          <w:rFonts w:hint="eastAsia" w:ascii="仿宋" w:hAnsi="仿宋" w:eastAsia="仿宋" w:cs="仿宋"/>
          <w:sz w:val="32"/>
          <w:szCs w:val="32"/>
          <w:lang w:val="zh-CN"/>
        </w:rPr>
      </w:pPr>
    </w:p>
    <w:p w14:paraId="517491B5">
      <w:pPr>
        <w:spacing w:before="100" w:beforeLines="0" w:after="100" w:afterLines="0"/>
        <w:jc w:val="center"/>
        <w:rPr>
          <w:rFonts w:hint="eastAsia" w:ascii="仿宋" w:hAnsi="仿宋" w:eastAsia="仿宋" w:cs="仿宋"/>
          <w:sz w:val="32"/>
          <w:szCs w:val="32"/>
          <w:lang w:val="zh-CN"/>
        </w:rPr>
      </w:pPr>
    </w:p>
    <w:p w14:paraId="5E8AAA9F">
      <w:pPr>
        <w:spacing w:before="100" w:beforeLines="0" w:after="100" w:afterLines="0"/>
        <w:jc w:val="center"/>
        <w:rPr>
          <w:rFonts w:hint="eastAsia" w:ascii="仿宋" w:hAnsi="仿宋" w:eastAsia="仿宋" w:cs="仿宋"/>
          <w:sz w:val="32"/>
          <w:szCs w:val="32"/>
          <w:lang w:val="zh-CN"/>
        </w:rPr>
      </w:pPr>
    </w:p>
    <w:p w14:paraId="0BFD3497">
      <w:pPr>
        <w:spacing w:before="100" w:beforeLines="0" w:after="100" w:afterLines="0"/>
        <w:jc w:val="center"/>
        <w:rPr>
          <w:rFonts w:hint="eastAsia" w:ascii="仿宋" w:hAnsi="仿宋" w:eastAsia="仿宋" w:cs="仿宋"/>
          <w:sz w:val="32"/>
          <w:szCs w:val="32"/>
          <w:lang w:val="zh-CN"/>
        </w:rPr>
      </w:pPr>
    </w:p>
    <w:p w14:paraId="11416A4B">
      <w:pPr>
        <w:spacing w:before="100" w:beforeLines="0" w:after="100" w:afterLines="0"/>
        <w:jc w:val="center"/>
        <w:rPr>
          <w:rFonts w:hint="eastAsia" w:ascii="仿宋" w:hAnsi="仿宋" w:eastAsia="仿宋" w:cs="仿宋"/>
          <w:sz w:val="32"/>
          <w:szCs w:val="32"/>
          <w:lang w:val="zh-CN"/>
        </w:rPr>
      </w:pPr>
    </w:p>
    <w:p w14:paraId="5ADF425F">
      <w:pPr>
        <w:spacing w:before="100" w:beforeLines="0" w:after="100" w:afterLines="0"/>
        <w:jc w:val="center"/>
        <w:rPr>
          <w:rFonts w:hint="eastAsia" w:ascii="仿宋" w:hAnsi="仿宋" w:eastAsia="仿宋" w:cs="仿宋"/>
          <w:sz w:val="32"/>
          <w:szCs w:val="32"/>
          <w:lang w:val="zh-CN"/>
        </w:rPr>
      </w:pPr>
    </w:p>
    <w:p w14:paraId="4706336B">
      <w:pPr>
        <w:spacing w:before="100" w:beforeLines="0" w:after="100" w:afterLines="0"/>
        <w:jc w:val="center"/>
        <w:rPr>
          <w:rFonts w:hint="eastAsia" w:ascii="仿宋" w:hAnsi="仿宋" w:eastAsia="仿宋" w:cs="仿宋"/>
          <w:sz w:val="32"/>
          <w:szCs w:val="32"/>
          <w:lang w:val="zh-CN"/>
        </w:rPr>
      </w:pPr>
    </w:p>
    <w:p w14:paraId="20433D00">
      <w:pPr>
        <w:spacing w:before="100" w:beforeLines="0" w:after="100" w:afterLines="0"/>
        <w:jc w:val="center"/>
        <w:rPr>
          <w:rFonts w:hint="eastAsia" w:ascii="仿宋" w:hAnsi="仿宋" w:eastAsia="仿宋" w:cs="仿宋"/>
          <w:sz w:val="32"/>
          <w:szCs w:val="32"/>
          <w:lang w:val="zh-CN"/>
        </w:rPr>
      </w:pPr>
    </w:p>
    <w:p w14:paraId="604AE18A">
      <w:pPr>
        <w:spacing w:before="100" w:beforeLines="0" w:after="100" w:afterLines="0"/>
        <w:jc w:val="center"/>
        <w:rPr>
          <w:rFonts w:hint="eastAsia" w:ascii="仿宋" w:hAnsi="仿宋" w:eastAsia="仿宋" w:cs="仿宋"/>
          <w:sz w:val="32"/>
          <w:szCs w:val="32"/>
          <w:lang w:val="zh-CN"/>
        </w:rPr>
      </w:pPr>
    </w:p>
    <w:p w14:paraId="47684619">
      <w:pPr>
        <w:spacing w:before="100" w:beforeLines="0" w:after="100" w:afterLines="0"/>
        <w:jc w:val="center"/>
        <w:rPr>
          <w:rFonts w:hint="eastAsia" w:ascii="仿宋" w:hAnsi="仿宋" w:eastAsia="仿宋" w:cs="仿宋"/>
          <w:sz w:val="32"/>
          <w:szCs w:val="32"/>
          <w:lang w:val="zh-CN"/>
        </w:rPr>
      </w:pPr>
    </w:p>
    <w:p w14:paraId="4A96E0EA">
      <w:pPr>
        <w:spacing w:before="100" w:beforeLines="0" w:after="100" w:afterLines="0"/>
        <w:jc w:val="center"/>
        <w:rPr>
          <w:rFonts w:hint="eastAsia" w:ascii="仿宋" w:hAnsi="仿宋" w:eastAsia="仿宋" w:cs="仿宋"/>
          <w:sz w:val="32"/>
          <w:szCs w:val="32"/>
          <w:lang w:val="zh-CN"/>
        </w:rPr>
      </w:pPr>
      <w:bookmarkStart w:id="1" w:name="_GoBack"/>
      <w:bookmarkEnd w:id="1"/>
    </w:p>
    <w:p w14:paraId="0F15E2CC">
      <w:pPr>
        <w:spacing w:before="100" w:beforeLines="0" w:after="100" w:afterLines="0"/>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2023年度</w:t>
      </w:r>
    </w:p>
    <w:p w14:paraId="4D07075E">
      <w:pPr>
        <w:spacing w:before="100" w:beforeLines="0" w:after="100" w:afterLines="0"/>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庆阳市华池县怀安乡怀安小学部门决算</w:t>
      </w:r>
    </w:p>
    <w:p w14:paraId="4803364D">
      <w:pPr>
        <w:spacing w:before="100" w:beforeLines="0" w:after="100" w:afterLines="0"/>
        <w:jc w:val="center"/>
        <w:rPr>
          <w:rFonts w:hint="eastAsia" w:ascii="仿宋" w:hAnsi="仿宋" w:eastAsia="仿宋" w:cs="仿宋"/>
          <w:sz w:val="32"/>
          <w:szCs w:val="32"/>
          <w:lang w:val="zh-CN"/>
        </w:rPr>
      </w:pPr>
    </w:p>
    <w:p w14:paraId="28B16B63">
      <w:pPr>
        <w:spacing w:before="100" w:beforeLines="0" w:after="100" w:afterLines="0"/>
        <w:jc w:val="center"/>
        <w:rPr>
          <w:rFonts w:hint="eastAsia" w:ascii="仿宋" w:hAnsi="仿宋" w:eastAsia="仿宋" w:cs="仿宋"/>
          <w:sz w:val="32"/>
          <w:szCs w:val="32"/>
          <w:lang w:val="zh-CN"/>
        </w:rPr>
      </w:pPr>
    </w:p>
    <w:p w14:paraId="689BA06F">
      <w:pPr>
        <w:spacing w:before="100" w:beforeLines="0" w:after="100" w:afterLines="0"/>
        <w:jc w:val="center"/>
        <w:rPr>
          <w:rFonts w:hint="eastAsia" w:ascii="仿宋" w:hAnsi="仿宋" w:eastAsia="仿宋" w:cs="仿宋"/>
          <w:sz w:val="32"/>
          <w:szCs w:val="32"/>
          <w:lang w:val="zh-CN"/>
        </w:rPr>
      </w:pPr>
    </w:p>
    <w:p w14:paraId="66F2AD1E">
      <w:pPr>
        <w:spacing w:before="100" w:beforeLines="0" w:after="100" w:afterLines="0"/>
        <w:jc w:val="both"/>
        <w:rPr>
          <w:rFonts w:hint="eastAsia" w:ascii="仿宋" w:hAnsi="仿宋" w:eastAsia="仿宋" w:cs="仿宋"/>
          <w:sz w:val="32"/>
          <w:szCs w:val="32"/>
          <w:lang w:val="zh-CN"/>
        </w:rPr>
      </w:pPr>
    </w:p>
    <w:p w14:paraId="2111A04C">
      <w:pPr>
        <w:spacing w:before="100" w:beforeLines="0" w:after="100" w:afterLines="0"/>
        <w:jc w:val="center"/>
        <w:rPr>
          <w:rFonts w:hint="eastAsia" w:ascii="仿宋" w:hAnsi="仿宋" w:eastAsia="仿宋" w:cs="仿宋"/>
          <w:sz w:val="32"/>
          <w:szCs w:val="32"/>
          <w:lang w:val="zh-CN"/>
        </w:rPr>
      </w:pPr>
      <w:r>
        <w:rPr>
          <w:rFonts w:hint="eastAsia" w:ascii="仿宋" w:hAnsi="仿宋" w:eastAsia="仿宋" w:cs="仿宋"/>
          <w:b/>
          <w:sz w:val="32"/>
          <w:szCs w:val="32"/>
          <w:lang w:val="zh-CN"/>
        </w:rPr>
        <w:t>目录</w:t>
      </w:r>
    </w:p>
    <w:p w14:paraId="3CDFE16E">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b/>
          <w:sz w:val="32"/>
          <w:szCs w:val="32"/>
          <w:lang w:val="zh-CN"/>
        </w:rPr>
        <w:t>第一部分部门概况</w:t>
      </w:r>
    </w:p>
    <w:p w14:paraId="0947FA60">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一、部门职责</w:t>
      </w:r>
    </w:p>
    <w:p w14:paraId="3A4CD04B">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二、机构设置</w:t>
      </w:r>
    </w:p>
    <w:p w14:paraId="374C2C1C">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b/>
          <w:sz w:val="32"/>
          <w:szCs w:val="32"/>
          <w:lang w:val="zh-CN"/>
        </w:rPr>
        <w:t>第二部分2023年度部门决算表</w:t>
      </w:r>
    </w:p>
    <w:p w14:paraId="53180E18">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一、收入支出决算总表</w:t>
      </w:r>
    </w:p>
    <w:p w14:paraId="58AD95D5">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二、收入决算表</w:t>
      </w:r>
    </w:p>
    <w:p w14:paraId="3F9D17DF">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三、支出决算表</w:t>
      </w:r>
    </w:p>
    <w:p w14:paraId="2E66EE8C">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四、财政拨款收入支出决算总表</w:t>
      </w:r>
    </w:p>
    <w:p w14:paraId="3A24796D">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五、一般公共预算财政拨款支出决算表</w:t>
      </w:r>
    </w:p>
    <w:p w14:paraId="56BDBF53">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六、一般公共预算财政拨款基本支出决算明细表</w:t>
      </w:r>
    </w:p>
    <w:p w14:paraId="05840ECA">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七、政府性基金预算财政拨款收入支出决算表</w:t>
      </w:r>
    </w:p>
    <w:p w14:paraId="017F71A5">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八、国有资本经营预算财政拨款支出决算表</w:t>
      </w:r>
    </w:p>
    <w:p w14:paraId="03D4DF2D">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九、财政拨款</w:t>
      </w:r>
      <w:r>
        <w:rPr>
          <w:rFonts w:hint="eastAsia" w:ascii="仿宋" w:hAnsi="仿宋" w:eastAsia="仿宋" w:cs="仿宋"/>
          <w:sz w:val="32"/>
          <w:szCs w:val="32"/>
          <w:lang w:val="zh-CN"/>
        </w:rPr>
        <w:t>“</w:t>
      </w:r>
      <w:r>
        <w:rPr>
          <w:rFonts w:hint="eastAsia" w:ascii="仿宋" w:hAnsi="仿宋" w:eastAsia="仿宋" w:cs="仿宋"/>
          <w:sz w:val="32"/>
          <w:szCs w:val="32"/>
          <w:lang w:val="zh-CN"/>
        </w:rPr>
        <w:t>三公</w:t>
      </w:r>
      <w:r>
        <w:rPr>
          <w:rFonts w:hint="eastAsia" w:ascii="仿宋" w:hAnsi="仿宋" w:eastAsia="仿宋" w:cs="仿宋"/>
          <w:sz w:val="32"/>
          <w:szCs w:val="32"/>
          <w:lang w:val="zh-CN"/>
        </w:rPr>
        <w:t>”</w:t>
      </w:r>
      <w:r>
        <w:rPr>
          <w:rFonts w:hint="eastAsia" w:ascii="仿宋" w:hAnsi="仿宋" w:eastAsia="仿宋" w:cs="仿宋"/>
          <w:sz w:val="32"/>
          <w:szCs w:val="32"/>
          <w:lang w:val="zh-CN"/>
        </w:rPr>
        <w:t>经费支出决算表</w:t>
      </w:r>
    </w:p>
    <w:p w14:paraId="4CB1B4FD">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b/>
          <w:sz w:val="32"/>
          <w:szCs w:val="32"/>
          <w:lang w:val="zh-CN"/>
        </w:rPr>
        <w:t>第三部分2023年度部门决算情况说明</w:t>
      </w:r>
    </w:p>
    <w:p w14:paraId="4A0A2A1E">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一、收入支出决算总体情况说明</w:t>
      </w:r>
    </w:p>
    <w:p w14:paraId="0DD0D969">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二、收入决算情况说明</w:t>
      </w:r>
    </w:p>
    <w:p w14:paraId="0722788B">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三、支出决算情况说明</w:t>
      </w:r>
    </w:p>
    <w:p w14:paraId="00AEF121">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四、财政拨款收入支出决算总体情况说明</w:t>
      </w:r>
    </w:p>
    <w:p w14:paraId="4AB4A9AA">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五、一般公共预算财政拨款支出决算情况说明</w:t>
      </w:r>
    </w:p>
    <w:p w14:paraId="59F9472B">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六、一般公共预算财政拨款基本支出决算情况说明</w:t>
      </w:r>
    </w:p>
    <w:p w14:paraId="6A3385DE">
      <w:pPr>
        <w:spacing w:before="100" w:beforeLines="0" w:after="100" w:afterLines="0"/>
        <w:jc w:val="left"/>
        <w:rPr>
          <w:rFonts w:hint="eastAsia" w:ascii="仿宋" w:hAnsi="仿宋" w:eastAsia="仿宋" w:cs="仿宋"/>
          <w:sz w:val="32"/>
          <w:szCs w:val="32"/>
          <w:lang w:val="en-US" w:eastAsia="zh-CN"/>
        </w:rPr>
      </w:pPr>
      <w:r>
        <w:rPr>
          <w:rFonts w:hint="eastAsia" w:ascii="仿宋" w:hAnsi="仿宋" w:eastAsia="仿宋" w:cs="仿宋"/>
          <w:sz w:val="32"/>
          <w:szCs w:val="32"/>
          <w:lang w:val="zh-CN"/>
        </w:rPr>
        <w:t>七、政府性基金预算财政拨款收支决算情况说明</w:t>
      </w:r>
    </w:p>
    <w:p w14:paraId="3AB971F0">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八、国有资本经营预算财政拨款支出情况说明</w:t>
      </w:r>
    </w:p>
    <w:p w14:paraId="2B93AC7A">
      <w:pPr>
        <w:spacing w:before="100" w:beforeLines="0" w:after="100" w:afterLines="0"/>
        <w:jc w:val="left"/>
        <w:rPr>
          <w:rFonts w:hint="eastAsia" w:ascii="仿宋" w:hAnsi="仿宋" w:eastAsia="仿宋" w:cs="仿宋"/>
          <w:sz w:val="32"/>
          <w:szCs w:val="32"/>
          <w:lang w:val="en-US" w:eastAsia="zh-CN"/>
        </w:rPr>
      </w:pPr>
      <w:r>
        <w:rPr>
          <w:rFonts w:hint="eastAsia" w:ascii="仿宋" w:hAnsi="仿宋" w:eastAsia="仿宋" w:cs="仿宋"/>
          <w:sz w:val="32"/>
          <w:szCs w:val="32"/>
          <w:lang w:val="zh-CN"/>
        </w:rPr>
        <w:t>九、财政拨款</w:t>
      </w:r>
      <w:r>
        <w:rPr>
          <w:rFonts w:hint="eastAsia" w:ascii="仿宋" w:hAnsi="仿宋" w:eastAsia="仿宋" w:cs="仿宋"/>
          <w:sz w:val="32"/>
          <w:szCs w:val="32"/>
          <w:lang w:val="zh-CN"/>
        </w:rPr>
        <w:t>“</w:t>
      </w:r>
      <w:r>
        <w:rPr>
          <w:rFonts w:hint="eastAsia" w:ascii="仿宋" w:hAnsi="仿宋" w:eastAsia="仿宋" w:cs="仿宋"/>
          <w:sz w:val="32"/>
          <w:szCs w:val="32"/>
          <w:lang w:val="zh-CN"/>
        </w:rPr>
        <w:t>三公</w:t>
      </w:r>
      <w:r>
        <w:rPr>
          <w:rFonts w:hint="eastAsia" w:ascii="仿宋" w:hAnsi="仿宋" w:eastAsia="仿宋" w:cs="仿宋"/>
          <w:sz w:val="32"/>
          <w:szCs w:val="32"/>
          <w:lang w:val="zh-CN"/>
        </w:rPr>
        <w:t>”</w:t>
      </w:r>
      <w:r>
        <w:rPr>
          <w:rFonts w:hint="eastAsia" w:ascii="仿宋" w:hAnsi="仿宋" w:eastAsia="仿宋" w:cs="仿宋"/>
          <w:sz w:val="32"/>
          <w:szCs w:val="32"/>
          <w:lang w:val="zh-CN"/>
        </w:rPr>
        <w:t>经费支出决算情况说明</w:t>
      </w:r>
    </w:p>
    <w:p w14:paraId="6A85C898">
      <w:pPr>
        <w:spacing w:before="100" w:beforeLines="0" w:after="100" w:afterLines="0"/>
        <w:jc w:val="left"/>
        <w:rPr>
          <w:rFonts w:hint="eastAsia" w:ascii="仿宋" w:hAnsi="仿宋" w:eastAsia="仿宋" w:cs="仿宋"/>
          <w:sz w:val="32"/>
          <w:szCs w:val="32"/>
          <w:lang w:val="en-US" w:eastAsia="zh-CN"/>
        </w:rPr>
      </w:pPr>
      <w:r>
        <w:rPr>
          <w:rFonts w:hint="eastAsia" w:ascii="仿宋" w:hAnsi="仿宋" w:eastAsia="仿宋" w:cs="仿宋"/>
          <w:sz w:val="32"/>
          <w:szCs w:val="32"/>
          <w:lang w:val="zh-CN"/>
        </w:rPr>
        <w:t>十、机关运行经费支出情况说明</w:t>
      </w:r>
    </w:p>
    <w:p w14:paraId="40B4ED64">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十一、政府采购支出情况说明</w:t>
      </w:r>
    </w:p>
    <w:p w14:paraId="0F7EF0FB">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十二、国有资产占用情况说明</w:t>
      </w:r>
    </w:p>
    <w:p w14:paraId="4B448869">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十三、其他需要说明的情况</w:t>
      </w:r>
    </w:p>
    <w:p w14:paraId="7A92EA2F">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b/>
          <w:sz w:val="32"/>
          <w:szCs w:val="32"/>
          <w:lang w:val="zh-CN"/>
        </w:rPr>
        <w:t>第四部分预算绩效情况说明</w:t>
      </w:r>
    </w:p>
    <w:p w14:paraId="52811413">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b/>
          <w:sz w:val="32"/>
          <w:szCs w:val="32"/>
          <w:lang w:val="zh-CN"/>
        </w:rPr>
        <w:t>第五部分名词解释</w:t>
      </w:r>
    </w:p>
    <w:p w14:paraId="22F89D26">
      <w:pPr>
        <w:spacing w:before="100" w:beforeLines="0" w:after="100" w:afterLines="0"/>
        <w:jc w:val="center"/>
        <w:rPr>
          <w:rFonts w:hint="eastAsia" w:ascii="仿宋" w:hAnsi="仿宋" w:eastAsia="仿宋" w:cs="仿宋"/>
          <w:sz w:val="32"/>
          <w:szCs w:val="32"/>
          <w:lang w:val="zh-CN"/>
        </w:rPr>
      </w:pPr>
    </w:p>
    <w:p w14:paraId="0F95B63A">
      <w:pPr>
        <w:spacing w:before="100" w:beforeLines="0" w:after="100" w:afterLines="0"/>
        <w:jc w:val="center"/>
        <w:rPr>
          <w:rFonts w:hint="eastAsia" w:ascii="仿宋" w:hAnsi="仿宋" w:eastAsia="仿宋" w:cs="仿宋"/>
          <w:sz w:val="32"/>
          <w:szCs w:val="32"/>
          <w:lang w:val="zh-CN"/>
        </w:rPr>
      </w:pPr>
    </w:p>
    <w:p w14:paraId="07CF6744">
      <w:pPr>
        <w:spacing w:before="100" w:beforeLines="0" w:after="100" w:afterLines="0"/>
        <w:jc w:val="center"/>
        <w:rPr>
          <w:rFonts w:hint="eastAsia" w:ascii="仿宋" w:hAnsi="仿宋" w:eastAsia="仿宋" w:cs="仿宋"/>
          <w:sz w:val="32"/>
          <w:szCs w:val="32"/>
          <w:lang w:val="zh-CN"/>
        </w:rPr>
      </w:pPr>
    </w:p>
    <w:p w14:paraId="2A0A6E26">
      <w:pPr>
        <w:spacing w:before="100" w:beforeLines="0" w:after="100" w:afterLines="0"/>
        <w:jc w:val="center"/>
        <w:rPr>
          <w:rFonts w:hint="eastAsia" w:ascii="仿宋" w:hAnsi="仿宋" w:eastAsia="仿宋" w:cs="仿宋"/>
          <w:sz w:val="32"/>
          <w:szCs w:val="32"/>
          <w:lang w:val="zh-CN"/>
        </w:rPr>
      </w:pPr>
    </w:p>
    <w:p w14:paraId="28B379EE">
      <w:pPr>
        <w:spacing w:before="100" w:beforeLines="0" w:after="100" w:afterLines="0"/>
        <w:jc w:val="center"/>
        <w:rPr>
          <w:rFonts w:hint="eastAsia" w:ascii="仿宋" w:hAnsi="仿宋" w:eastAsia="仿宋" w:cs="仿宋"/>
          <w:sz w:val="32"/>
          <w:szCs w:val="32"/>
          <w:lang w:val="zh-CN"/>
        </w:rPr>
      </w:pPr>
    </w:p>
    <w:p w14:paraId="4830915E">
      <w:pPr>
        <w:spacing w:before="100" w:beforeLines="0" w:after="100" w:afterLines="0"/>
        <w:jc w:val="center"/>
        <w:rPr>
          <w:rFonts w:hint="eastAsia" w:ascii="仿宋" w:hAnsi="仿宋" w:eastAsia="仿宋" w:cs="仿宋"/>
          <w:sz w:val="32"/>
          <w:szCs w:val="32"/>
          <w:lang w:val="zh-CN"/>
        </w:rPr>
      </w:pPr>
    </w:p>
    <w:p w14:paraId="19EB1D49">
      <w:pPr>
        <w:spacing w:before="100" w:beforeLines="0" w:after="100" w:afterLines="0"/>
        <w:jc w:val="center"/>
        <w:rPr>
          <w:rFonts w:hint="eastAsia" w:ascii="仿宋" w:hAnsi="仿宋" w:eastAsia="仿宋" w:cs="仿宋"/>
          <w:sz w:val="32"/>
          <w:szCs w:val="32"/>
          <w:lang w:val="zh-CN"/>
        </w:rPr>
      </w:pPr>
    </w:p>
    <w:p w14:paraId="14C78934">
      <w:pPr>
        <w:spacing w:before="100" w:beforeLines="0" w:after="100" w:afterLines="0"/>
        <w:jc w:val="center"/>
        <w:rPr>
          <w:rFonts w:hint="eastAsia" w:ascii="仿宋" w:hAnsi="仿宋" w:eastAsia="仿宋" w:cs="仿宋"/>
          <w:sz w:val="32"/>
          <w:szCs w:val="32"/>
          <w:lang w:val="zh-CN"/>
        </w:rPr>
      </w:pPr>
      <w:r>
        <w:rPr>
          <w:rFonts w:hint="eastAsia" w:ascii="仿宋" w:hAnsi="仿宋" w:eastAsia="仿宋" w:cs="仿宋"/>
          <w:b/>
          <w:sz w:val="32"/>
          <w:szCs w:val="32"/>
          <w:lang w:val="zh-CN"/>
        </w:rPr>
        <w:t>第一部分部门概况</w:t>
      </w:r>
    </w:p>
    <w:p w14:paraId="1ECD44BC">
      <w:pPr>
        <w:spacing w:before="100" w:beforeLines="0" w:after="100" w:afterLines="0"/>
        <w:jc w:val="left"/>
        <w:rPr>
          <w:rFonts w:hint="eastAsia" w:ascii="仿宋" w:hAnsi="仿宋" w:eastAsia="仿宋" w:cs="仿宋"/>
          <w:sz w:val="32"/>
          <w:szCs w:val="32"/>
          <w:lang w:val="zh-CN"/>
        </w:rPr>
      </w:pPr>
      <w:r>
        <w:rPr>
          <w:rFonts w:hint="eastAsia" w:ascii="仿宋" w:hAnsi="仿宋" w:eastAsia="仿宋" w:cs="仿宋"/>
          <w:sz w:val="32"/>
          <w:szCs w:val="32"/>
          <w:lang w:val="zh-CN"/>
        </w:rPr>
        <w:t>一、部门职责</w:t>
      </w:r>
    </w:p>
    <w:p w14:paraId="3303B606">
      <w:pPr>
        <w:spacing w:line="640" w:lineRule="exact"/>
        <w:ind w:firstLine="640" w:firstLineChars="200"/>
        <w:rPr>
          <w:rFonts w:hint="eastAsia" w:ascii="仿宋" w:hAnsi="仿宋" w:eastAsia="仿宋" w:cs="仿宋"/>
          <w:sz w:val="32"/>
          <w:szCs w:val="32"/>
        </w:rPr>
      </w:pPr>
      <w:bookmarkStart w:id="0" w:name="_Hlk138154328"/>
      <w:r>
        <w:rPr>
          <w:rFonts w:hint="eastAsia" w:ascii="仿宋" w:hAnsi="仿宋" w:eastAsia="仿宋" w:cs="仿宋"/>
          <w:sz w:val="32"/>
          <w:szCs w:val="32"/>
        </w:rPr>
        <w:t>华池县</w:t>
      </w:r>
      <w:r>
        <w:rPr>
          <w:rFonts w:hint="eastAsia" w:ascii="仿宋" w:hAnsi="仿宋" w:eastAsia="仿宋" w:cs="仿宋"/>
          <w:sz w:val="32"/>
          <w:szCs w:val="32"/>
          <w:lang w:val="en-US" w:eastAsia="zh-CN"/>
        </w:rPr>
        <w:t>怀安乡怀安小</w:t>
      </w:r>
      <w:r>
        <w:rPr>
          <w:rFonts w:hint="eastAsia" w:ascii="仿宋" w:hAnsi="仿宋" w:eastAsia="仿宋" w:cs="仿宋"/>
          <w:sz w:val="32"/>
          <w:szCs w:val="32"/>
        </w:rPr>
        <w:t>学</w:t>
      </w:r>
      <w:r>
        <w:rPr>
          <w:rFonts w:hint="eastAsia" w:ascii="仿宋" w:hAnsi="仿宋" w:eastAsia="仿宋" w:cs="仿宋"/>
          <w:sz w:val="32"/>
          <w:szCs w:val="32"/>
        </w:rPr>
        <w:t>是教育教学等工作的职能部门。主要职责是:</w:t>
      </w:r>
    </w:p>
    <w:p w14:paraId="306AC85E">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1、宣传贯彻执行党和国家的教育方针、教育政策、教育法律和法规。</w:t>
      </w:r>
    </w:p>
    <w:p w14:paraId="0B957CDE">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2、组织开展教育教学科研和教育教学改革，以科学发展观和以人为本的管理理念注重学生的全面发展。</w:t>
      </w:r>
    </w:p>
    <w:p w14:paraId="00E40567">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3、按照教师的职数、编制和管理权限，对职工的工作开展客观、公正的评价和考核。</w:t>
      </w:r>
    </w:p>
    <w:p w14:paraId="46AFEF19">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4、按照上级有关部门的规定，负责学校的财务和项目建设进行，负责核算和发放教职工工资。</w:t>
      </w:r>
    </w:p>
    <w:p w14:paraId="66747224">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5、争取资金改善办学条件，为师生的学习和工作提供优美和谐的环境。</w:t>
      </w:r>
    </w:p>
    <w:bookmarkEnd w:id="0"/>
    <w:p w14:paraId="7BA44E54">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二、机构设置</w:t>
      </w:r>
    </w:p>
    <w:p w14:paraId="1A44D87F">
      <w:pPr>
        <w:pStyle w:val="2"/>
        <w:shd w:val="clear" w:color="auto" w:fill="FFFFFF"/>
        <w:spacing w:before="0" w:beforeAutospacing="0" w:after="0" w:afterAutospacing="0"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（1）机关内设机构</w:t>
      </w:r>
    </w:p>
    <w:p w14:paraId="5E323F86">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华池县</w:t>
      </w:r>
      <w:r>
        <w:rPr>
          <w:rFonts w:hint="eastAsia" w:ascii="仿宋" w:hAnsi="仿宋" w:eastAsia="仿宋" w:cs="仿宋"/>
          <w:sz w:val="32"/>
          <w:szCs w:val="32"/>
          <w:lang w:val="en-US" w:eastAsia="zh-CN"/>
        </w:rPr>
        <w:t>怀安乡怀安小</w:t>
      </w:r>
      <w:r>
        <w:rPr>
          <w:rFonts w:hint="eastAsia" w:ascii="仿宋" w:hAnsi="仿宋" w:eastAsia="仿宋" w:cs="仿宋"/>
          <w:sz w:val="32"/>
          <w:szCs w:val="32"/>
        </w:rPr>
        <w:t>学</w:t>
      </w:r>
      <w:r>
        <w:rPr>
          <w:rFonts w:hint="eastAsia" w:ascii="仿宋" w:hAnsi="仿宋" w:eastAsia="仿宋" w:cs="仿宋"/>
          <w:sz w:val="32"/>
          <w:szCs w:val="32"/>
        </w:rPr>
        <w:t>内设，教务处，总务处等股室（教务处主要负责学校的教育教学工作、总务处主要负责学校的后勤服务工作）。</w:t>
      </w:r>
    </w:p>
    <w:p w14:paraId="48BBEB25">
      <w:pPr>
        <w:pStyle w:val="2"/>
        <w:shd w:val="clear" w:color="auto" w:fill="FFFFFF"/>
        <w:spacing w:before="0" w:beforeAutospacing="0" w:after="0" w:afterAutospacing="0" w:line="56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（2）</w:t>
      </w:r>
      <w:r>
        <w:rPr>
          <w:rFonts w:hint="eastAsia" w:ascii="仿宋" w:hAnsi="仿宋" w:eastAsia="仿宋" w:cs="仿宋"/>
          <w:b/>
          <w:bCs/>
          <w:sz w:val="32"/>
          <w:szCs w:val="32"/>
        </w:rPr>
        <w:t>人员情况</w:t>
      </w:r>
    </w:p>
    <w:p w14:paraId="6C38C0C2">
      <w:pPr>
        <w:spacing w:before="100" w:after="100" w:line="560" w:lineRule="atLeast"/>
        <w:ind w:firstLine="640" w:firstLineChars="200"/>
        <w:jc w:val="left"/>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20</w:t>
      </w:r>
      <w:r>
        <w:rPr>
          <w:rFonts w:hint="eastAsia" w:ascii="仿宋" w:hAnsi="仿宋" w:eastAsia="仿宋" w:cs="仿宋"/>
          <w:sz w:val="32"/>
          <w:szCs w:val="32"/>
          <w:shd w:val="clear" w:color="auto" w:fill="FFFFFF"/>
        </w:rPr>
        <w:t>23</w:t>
      </w:r>
      <w:r>
        <w:rPr>
          <w:rFonts w:hint="eastAsia" w:ascii="仿宋" w:hAnsi="仿宋" w:eastAsia="仿宋" w:cs="仿宋"/>
          <w:sz w:val="32"/>
          <w:szCs w:val="32"/>
          <w:shd w:val="clear" w:color="auto" w:fill="FFFFFF"/>
        </w:rPr>
        <w:t>年度，我</w:t>
      </w:r>
      <w:r>
        <w:rPr>
          <w:rFonts w:hint="eastAsia" w:ascii="仿宋" w:hAnsi="仿宋" w:eastAsia="仿宋" w:cs="仿宋"/>
          <w:sz w:val="32"/>
          <w:szCs w:val="32"/>
          <w:shd w:val="clear" w:color="auto" w:fill="FFFFFF"/>
        </w:rPr>
        <w:t>单位</w:t>
      </w:r>
      <w:r>
        <w:rPr>
          <w:rFonts w:hint="eastAsia" w:ascii="仿宋" w:hAnsi="仿宋" w:eastAsia="仿宋" w:cs="仿宋"/>
          <w:sz w:val="32"/>
          <w:szCs w:val="32"/>
          <w:shd w:val="clear" w:color="auto" w:fill="FFFFFF"/>
        </w:rPr>
        <w:t>共有</w:t>
      </w:r>
      <w:r>
        <w:rPr>
          <w:rFonts w:hint="eastAsia" w:ascii="仿宋" w:hAnsi="仿宋" w:eastAsia="仿宋" w:cs="仿宋"/>
          <w:sz w:val="32"/>
          <w:szCs w:val="32"/>
          <w:shd w:val="clear" w:color="auto" w:fill="FFFFFF"/>
        </w:rPr>
        <w:t>编制</w:t>
      </w:r>
      <w:r>
        <w:rPr>
          <w:rFonts w:hint="eastAsia" w:ascii="仿宋" w:hAnsi="仿宋" w:eastAsia="仿宋" w:cs="仿宋"/>
          <w:sz w:val="32"/>
          <w:szCs w:val="32"/>
          <w:shd w:val="clear" w:color="auto" w:fill="FFFFFF"/>
          <w:lang w:val="en-US" w:eastAsia="zh-CN"/>
        </w:rPr>
        <w:t>15</w:t>
      </w:r>
      <w:r>
        <w:rPr>
          <w:rFonts w:hint="eastAsia" w:ascii="仿宋" w:hAnsi="仿宋" w:eastAsia="仿宋" w:cs="仿宋"/>
          <w:sz w:val="32"/>
          <w:szCs w:val="32"/>
          <w:shd w:val="clear" w:color="auto" w:fill="FFFFFF"/>
        </w:rPr>
        <w:t>名，其中：</w:t>
      </w:r>
      <w:r>
        <w:rPr>
          <w:rFonts w:hint="eastAsia" w:ascii="仿宋" w:hAnsi="仿宋" w:eastAsia="仿宋" w:cs="仿宋"/>
          <w:sz w:val="32"/>
          <w:szCs w:val="32"/>
          <w:shd w:val="clear" w:color="auto" w:fill="FFFFFF"/>
        </w:rPr>
        <w:t>行政编制</w:t>
      </w:r>
      <w:r>
        <w:rPr>
          <w:rFonts w:hint="eastAsia" w:ascii="仿宋" w:hAnsi="仿宋" w:eastAsia="仿宋" w:cs="仿宋"/>
          <w:sz w:val="32"/>
          <w:szCs w:val="32"/>
          <w:shd w:val="clear" w:color="auto" w:fill="FFFFFF"/>
        </w:rPr>
        <w:t>0</w:t>
      </w:r>
      <w:r>
        <w:rPr>
          <w:rFonts w:hint="eastAsia" w:ascii="仿宋" w:hAnsi="仿宋" w:eastAsia="仿宋" w:cs="仿宋"/>
          <w:sz w:val="32"/>
          <w:szCs w:val="32"/>
          <w:shd w:val="clear" w:color="auto" w:fill="FFFFFF"/>
        </w:rPr>
        <w:t>名，参公事业编制</w:t>
      </w:r>
      <w:r>
        <w:rPr>
          <w:rFonts w:hint="eastAsia" w:ascii="仿宋" w:hAnsi="仿宋" w:eastAsia="仿宋" w:cs="仿宋"/>
          <w:sz w:val="32"/>
          <w:szCs w:val="32"/>
          <w:shd w:val="clear" w:color="auto" w:fill="FFFFFF"/>
        </w:rPr>
        <w:t>0</w:t>
      </w:r>
      <w:r>
        <w:rPr>
          <w:rFonts w:hint="eastAsia" w:ascii="仿宋" w:hAnsi="仿宋" w:eastAsia="仿宋" w:cs="仿宋"/>
          <w:sz w:val="32"/>
          <w:szCs w:val="32"/>
          <w:shd w:val="clear" w:color="auto" w:fill="FFFFFF"/>
        </w:rPr>
        <w:t>名，事业编制</w:t>
      </w:r>
      <w:r>
        <w:rPr>
          <w:rFonts w:hint="eastAsia" w:ascii="仿宋" w:hAnsi="仿宋" w:eastAsia="仿宋" w:cs="仿宋"/>
          <w:sz w:val="32"/>
          <w:szCs w:val="32"/>
          <w:shd w:val="clear" w:color="auto" w:fill="FFFFFF"/>
          <w:lang w:val="en-US" w:eastAsia="zh-CN"/>
        </w:rPr>
        <w:t>15</w:t>
      </w:r>
      <w:r>
        <w:rPr>
          <w:rFonts w:hint="eastAsia" w:ascii="仿宋" w:hAnsi="仿宋" w:eastAsia="仿宋" w:cs="仿宋"/>
          <w:sz w:val="32"/>
          <w:szCs w:val="32"/>
          <w:shd w:val="clear" w:color="auto" w:fill="FFFFFF"/>
        </w:rPr>
        <w:t>名，后勤编制</w:t>
      </w:r>
      <w:r>
        <w:rPr>
          <w:rFonts w:hint="eastAsia" w:ascii="仿宋" w:hAnsi="仿宋" w:eastAsia="仿宋" w:cs="仿宋"/>
          <w:sz w:val="32"/>
          <w:szCs w:val="32"/>
          <w:shd w:val="clear" w:color="auto" w:fill="FFFFFF"/>
        </w:rPr>
        <w:t>0</w:t>
      </w:r>
      <w:r>
        <w:rPr>
          <w:rFonts w:hint="eastAsia" w:ascii="仿宋" w:hAnsi="仿宋" w:eastAsia="仿宋" w:cs="仿宋"/>
          <w:sz w:val="32"/>
          <w:szCs w:val="32"/>
          <w:shd w:val="clear" w:color="auto" w:fill="FFFFFF"/>
        </w:rPr>
        <w:t>名</w:t>
      </w:r>
      <w:r>
        <w:rPr>
          <w:rFonts w:hint="eastAsia" w:ascii="仿宋" w:hAnsi="仿宋" w:eastAsia="仿宋" w:cs="仿宋"/>
          <w:sz w:val="32"/>
          <w:szCs w:val="32"/>
          <w:shd w:val="clear" w:color="auto" w:fill="FFFFFF"/>
        </w:rPr>
        <w:t>。财政供养总人数</w:t>
      </w:r>
      <w:r>
        <w:rPr>
          <w:rFonts w:hint="eastAsia" w:ascii="仿宋" w:hAnsi="仿宋" w:eastAsia="仿宋" w:cs="仿宋"/>
          <w:sz w:val="32"/>
          <w:szCs w:val="32"/>
          <w:shd w:val="clear" w:color="auto" w:fill="FFFFFF"/>
          <w:lang w:val="en-US" w:eastAsia="zh-CN"/>
        </w:rPr>
        <w:t>24</w:t>
      </w:r>
      <w:r>
        <w:rPr>
          <w:rFonts w:hint="eastAsia" w:ascii="仿宋" w:hAnsi="仿宋" w:eastAsia="仿宋" w:cs="仿宋"/>
          <w:sz w:val="32"/>
          <w:szCs w:val="32"/>
          <w:shd w:val="clear" w:color="auto" w:fill="FFFFFF"/>
        </w:rPr>
        <w:t>人，其中：在职人员</w:t>
      </w:r>
      <w:r>
        <w:rPr>
          <w:rFonts w:hint="eastAsia" w:ascii="仿宋" w:hAnsi="仿宋" w:eastAsia="仿宋" w:cs="仿宋"/>
          <w:sz w:val="32"/>
          <w:szCs w:val="32"/>
          <w:shd w:val="clear" w:color="auto" w:fill="FFFFFF"/>
          <w:lang w:val="en-US" w:eastAsia="zh-CN"/>
        </w:rPr>
        <w:t>24</w:t>
      </w:r>
      <w:r>
        <w:rPr>
          <w:rFonts w:hint="eastAsia" w:ascii="仿宋" w:hAnsi="仿宋" w:eastAsia="仿宋" w:cs="仿宋"/>
          <w:sz w:val="32"/>
          <w:szCs w:val="32"/>
          <w:shd w:val="clear" w:color="auto" w:fill="FFFFFF"/>
        </w:rPr>
        <w:t>人，雇佣人员0人，离退休0人，遗属</w:t>
      </w:r>
      <w:r>
        <w:rPr>
          <w:rFonts w:hint="eastAsia" w:ascii="仿宋" w:hAnsi="仿宋" w:eastAsia="仿宋" w:cs="仿宋"/>
          <w:sz w:val="32"/>
          <w:szCs w:val="32"/>
          <w:shd w:val="clear" w:color="auto" w:fill="FFFFFF"/>
          <w:lang w:val="en-US" w:eastAsia="zh-CN"/>
        </w:rPr>
        <w:t>0</w:t>
      </w:r>
      <w:r>
        <w:rPr>
          <w:rFonts w:hint="eastAsia" w:ascii="仿宋" w:hAnsi="仿宋" w:eastAsia="仿宋" w:cs="仿宋"/>
          <w:sz w:val="32"/>
          <w:szCs w:val="32"/>
          <w:shd w:val="clear" w:color="auto" w:fill="FFFFFF"/>
        </w:rPr>
        <w:t>人。</w:t>
      </w:r>
    </w:p>
    <w:p w14:paraId="366AE238">
      <w:pPr>
        <w:spacing w:before="100" w:beforeLines="0" w:after="100" w:afterLines="0"/>
        <w:jc w:val="center"/>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第二部分2023年度部门决算表（</w:t>
      </w:r>
      <w:r>
        <w:rPr>
          <w:rFonts w:hint="eastAsia" w:ascii="仿宋" w:hAnsi="仿宋" w:eastAsia="仿宋" w:cs="仿宋"/>
          <w:b/>
          <w:color w:val="auto"/>
          <w:sz w:val="32"/>
          <w:szCs w:val="32"/>
          <w:lang w:val="en-US" w:eastAsia="zh-CN"/>
        </w:rPr>
        <w:t>见附表</w:t>
      </w:r>
      <w:r>
        <w:rPr>
          <w:rFonts w:hint="eastAsia" w:ascii="仿宋" w:hAnsi="仿宋" w:eastAsia="仿宋" w:cs="仿宋"/>
          <w:b/>
          <w:color w:val="auto"/>
          <w:sz w:val="32"/>
          <w:szCs w:val="32"/>
          <w:lang w:val="zh-CN"/>
        </w:rPr>
        <w:t>）</w:t>
      </w:r>
    </w:p>
    <w:p w14:paraId="5B9DC143">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一、收入支出决算总表</w:t>
      </w:r>
    </w:p>
    <w:p w14:paraId="03CF3D6F">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二、收入决算表</w:t>
      </w:r>
    </w:p>
    <w:p w14:paraId="1FA14FB9">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三、支出决算表</w:t>
      </w:r>
    </w:p>
    <w:p w14:paraId="1EA09A74">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四、财政拨款收入支出决算总表</w:t>
      </w:r>
    </w:p>
    <w:p w14:paraId="0061DA1E">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五、一般公共预算财政拨款支出决算表</w:t>
      </w:r>
    </w:p>
    <w:p w14:paraId="2135FFDA">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六、一般公共预算财政拨款基本支出决算明细表</w:t>
      </w:r>
    </w:p>
    <w:p w14:paraId="0658AAF7">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七、政府性基金预算财政拨款收入支出决算表</w:t>
      </w:r>
    </w:p>
    <w:p w14:paraId="72710473">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八、国有资本经营预算财政拨款支出决算表</w:t>
      </w:r>
    </w:p>
    <w:p w14:paraId="44DAE8E1">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九、财政拨款</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三公</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经费支出决算表</w:t>
      </w:r>
    </w:p>
    <w:p w14:paraId="70EB720F">
      <w:pPr>
        <w:spacing w:before="100" w:beforeLines="0" w:after="100" w:afterLines="0"/>
        <w:jc w:val="center"/>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第三部分2023年度部门决算情况说明</w:t>
      </w:r>
    </w:p>
    <w:p w14:paraId="5E6026EE">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一、收入支出决算总体情况说明</w:t>
      </w:r>
    </w:p>
    <w:p w14:paraId="7D2428E2">
      <w:pPr>
        <w:spacing w:before="100" w:beforeLines="0" w:after="100" w:afterLines="0"/>
        <w:jc w:val="left"/>
        <w:rPr>
          <w:rFonts w:hint="eastAsia" w:ascii="Times New Roman" w:hAnsi="Times New Roman" w:eastAsia="仿宋_GB2312"/>
          <w:sz w:val="32"/>
          <w:szCs w:val="32"/>
        </w:rPr>
      </w:pPr>
      <w:r>
        <w:rPr>
          <w:rFonts w:hint="eastAsia" w:ascii="仿宋" w:hAnsi="仿宋" w:eastAsia="仿宋" w:cs="仿宋"/>
          <w:color w:val="auto"/>
          <w:sz w:val="32"/>
          <w:szCs w:val="32"/>
          <w:lang w:val="zh-CN"/>
        </w:rPr>
        <w:t>2023年度收、支总计</w:t>
      </w:r>
      <w:r>
        <w:rPr>
          <w:rFonts w:hint="eastAsia" w:ascii="仿宋" w:hAnsi="仿宋" w:eastAsia="仿宋" w:cs="仿宋"/>
          <w:color w:val="auto"/>
          <w:sz w:val="32"/>
          <w:szCs w:val="32"/>
          <w:lang w:val="en-US"/>
        </w:rPr>
        <w:t>均为</w:t>
      </w:r>
      <w:r>
        <w:rPr>
          <w:rFonts w:hint="eastAsia" w:ascii="仿宋" w:hAnsi="仿宋" w:eastAsia="仿宋" w:cs="仿宋"/>
          <w:color w:val="auto"/>
          <w:sz w:val="32"/>
          <w:szCs w:val="32"/>
          <w:lang w:val="zh-CN"/>
        </w:rPr>
        <w:t>510.31万元。</w:t>
      </w:r>
      <w:r>
        <w:rPr>
          <w:rFonts w:hint="eastAsia" w:ascii="仿宋" w:hAnsi="仿宋" w:eastAsia="仿宋" w:cs="仿宋"/>
          <w:color w:val="auto"/>
          <w:sz w:val="32"/>
          <w:szCs w:val="32"/>
          <w:lang w:val="en-US"/>
        </w:rPr>
        <w:t>与上年度相比,</w:t>
      </w:r>
      <w:r>
        <w:rPr>
          <w:rFonts w:hint="eastAsia" w:ascii="仿宋" w:hAnsi="仿宋" w:eastAsia="仿宋" w:cs="仿宋"/>
          <w:color w:val="auto"/>
          <w:sz w:val="32"/>
          <w:szCs w:val="32"/>
          <w:lang w:val="zh-CN"/>
        </w:rPr>
        <w:t>收、支</w:t>
      </w:r>
      <w:r>
        <w:rPr>
          <w:rFonts w:hint="eastAsia" w:ascii="仿宋" w:hAnsi="仿宋" w:eastAsia="仿宋" w:cs="仿宋"/>
          <w:color w:val="auto"/>
          <w:sz w:val="32"/>
          <w:szCs w:val="32"/>
          <w:lang w:val="en-US"/>
        </w:rPr>
        <w:t>总计各</w:t>
      </w:r>
      <w:r>
        <w:rPr>
          <w:rFonts w:hint="eastAsia" w:ascii="仿宋" w:hAnsi="仿宋" w:eastAsia="仿宋" w:cs="仿宋"/>
          <w:color w:val="auto"/>
          <w:sz w:val="32"/>
          <w:szCs w:val="32"/>
          <w:lang w:val="zh-CN"/>
        </w:rPr>
        <w:t>减少79.63万元,下降13.5%,</w:t>
      </w:r>
      <w:r>
        <w:rPr>
          <w:rFonts w:hint="eastAsia" w:ascii="Times New Roman" w:hAnsi="Times New Roman" w:eastAsia="仿宋_GB2312"/>
          <w:sz w:val="32"/>
          <w:szCs w:val="32"/>
        </w:rPr>
        <w:t>主要原因是本年度年初结转和结余比上年度资金少。</w:t>
      </w:r>
    </w:p>
    <w:p w14:paraId="35D0F1B2">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二、收入决算情况说明</w:t>
      </w:r>
    </w:p>
    <w:p w14:paraId="4C13D49F">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2023年度收入合计510.31万元,其中：财政拨款收入510.31万元,占100.00%；</w:t>
      </w:r>
      <w:r>
        <w:rPr>
          <w:rFonts w:hint="eastAsia" w:ascii="仿宋" w:hAnsi="仿宋" w:eastAsia="仿宋" w:cs="仿宋"/>
          <w:color w:val="auto"/>
          <w:sz w:val="32"/>
          <w:szCs w:val="32"/>
          <w:lang w:val="en-US"/>
        </w:rPr>
        <w:t>上级补助</w:t>
      </w:r>
      <w:r>
        <w:rPr>
          <w:rFonts w:hint="eastAsia" w:ascii="仿宋" w:hAnsi="仿宋" w:eastAsia="仿宋" w:cs="仿宋"/>
          <w:color w:val="auto"/>
          <w:sz w:val="32"/>
          <w:szCs w:val="32"/>
          <w:lang w:val="zh-CN"/>
        </w:rPr>
        <w:t>收入0.00万元,占0.00%；</w:t>
      </w:r>
      <w:r>
        <w:rPr>
          <w:rFonts w:hint="eastAsia" w:ascii="仿宋" w:hAnsi="仿宋" w:eastAsia="仿宋" w:cs="仿宋"/>
          <w:color w:val="auto"/>
          <w:sz w:val="32"/>
          <w:szCs w:val="32"/>
          <w:lang w:val="en-US"/>
        </w:rPr>
        <w:t>事业</w:t>
      </w:r>
      <w:r>
        <w:rPr>
          <w:rFonts w:hint="eastAsia" w:ascii="仿宋" w:hAnsi="仿宋" w:eastAsia="仿宋" w:cs="仿宋"/>
          <w:color w:val="auto"/>
          <w:sz w:val="32"/>
          <w:szCs w:val="32"/>
          <w:lang w:val="zh-CN"/>
        </w:rPr>
        <w:t>收入0.00万元,占0.00%；</w:t>
      </w:r>
      <w:r>
        <w:rPr>
          <w:rFonts w:hint="eastAsia" w:ascii="仿宋" w:hAnsi="仿宋" w:eastAsia="仿宋" w:cs="仿宋"/>
          <w:color w:val="auto"/>
          <w:sz w:val="32"/>
          <w:szCs w:val="32"/>
          <w:lang w:val="en-US"/>
        </w:rPr>
        <w:t>经营</w:t>
      </w:r>
      <w:r>
        <w:rPr>
          <w:rFonts w:hint="eastAsia" w:ascii="仿宋" w:hAnsi="仿宋" w:eastAsia="仿宋" w:cs="仿宋"/>
          <w:color w:val="auto"/>
          <w:sz w:val="32"/>
          <w:szCs w:val="32"/>
          <w:lang w:val="zh-CN"/>
        </w:rPr>
        <w:t>收入0.00万元,占0.00%；</w:t>
      </w:r>
      <w:r>
        <w:rPr>
          <w:rFonts w:hint="eastAsia" w:ascii="仿宋" w:hAnsi="仿宋" w:eastAsia="仿宋" w:cs="仿宋"/>
          <w:color w:val="auto"/>
          <w:sz w:val="32"/>
          <w:szCs w:val="32"/>
          <w:lang w:val="en-US"/>
        </w:rPr>
        <w:t>附属单位上缴</w:t>
      </w:r>
      <w:r>
        <w:rPr>
          <w:rFonts w:hint="eastAsia" w:ascii="仿宋" w:hAnsi="仿宋" w:eastAsia="仿宋" w:cs="仿宋"/>
          <w:color w:val="auto"/>
          <w:sz w:val="32"/>
          <w:szCs w:val="32"/>
          <w:lang w:val="zh-CN"/>
        </w:rPr>
        <w:t>收入0.00万元,占0.00%；</w:t>
      </w:r>
      <w:r>
        <w:rPr>
          <w:rFonts w:hint="eastAsia" w:ascii="仿宋" w:hAnsi="仿宋" w:eastAsia="仿宋" w:cs="仿宋"/>
          <w:color w:val="auto"/>
          <w:sz w:val="32"/>
          <w:szCs w:val="32"/>
          <w:lang w:val="en-US"/>
        </w:rPr>
        <w:t>其他</w:t>
      </w:r>
      <w:r>
        <w:rPr>
          <w:rFonts w:hint="eastAsia" w:ascii="仿宋" w:hAnsi="仿宋" w:eastAsia="仿宋" w:cs="仿宋"/>
          <w:color w:val="auto"/>
          <w:sz w:val="32"/>
          <w:szCs w:val="32"/>
          <w:lang w:val="zh-CN"/>
        </w:rPr>
        <w:t>收入0.00万元,占0.00%；</w:t>
      </w:r>
    </w:p>
    <w:p w14:paraId="3494B51B">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三、支出决算情况说明</w:t>
      </w:r>
    </w:p>
    <w:p w14:paraId="3487D689">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2023年度支出合计510.31万元,其中：基本支出437.87万元,占85.80%；项目支出72.44万元,占14.20%；上缴上级支出0.00万元,占0.00%；经营支出0.00万元,占0.00%；对附属单位补助支出0.00万元,占0.00%。</w:t>
      </w:r>
    </w:p>
    <w:p w14:paraId="21EB21F6">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四、财政拨款收入支出决算总体情况说明</w:t>
      </w:r>
    </w:p>
    <w:p w14:paraId="0027F601">
      <w:pPr>
        <w:spacing w:before="100" w:after="100"/>
        <w:ind w:firstLine="640" w:firstLineChars="200"/>
        <w:jc w:val="left"/>
        <w:rPr>
          <w:rFonts w:hint="eastAsia" w:ascii="Times New Roman" w:hAnsi="Times New Roman" w:eastAsia="仿宋_GB2312"/>
          <w:sz w:val="32"/>
          <w:szCs w:val="32"/>
        </w:rPr>
      </w:pPr>
      <w:r>
        <w:rPr>
          <w:rFonts w:hint="eastAsia" w:ascii="仿宋" w:hAnsi="仿宋" w:eastAsia="仿宋" w:cs="仿宋"/>
          <w:color w:val="auto"/>
          <w:sz w:val="32"/>
          <w:szCs w:val="32"/>
          <w:lang w:val="zh-CN"/>
        </w:rPr>
        <w:t>2023年度财政拨款收、支总计</w:t>
      </w:r>
      <w:r>
        <w:rPr>
          <w:rFonts w:hint="eastAsia" w:ascii="仿宋" w:hAnsi="仿宋" w:eastAsia="仿宋" w:cs="仿宋"/>
          <w:color w:val="auto"/>
          <w:sz w:val="32"/>
          <w:szCs w:val="32"/>
          <w:lang w:val="en-US"/>
        </w:rPr>
        <w:t>均为</w:t>
      </w:r>
      <w:r>
        <w:rPr>
          <w:rFonts w:hint="eastAsia" w:ascii="仿宋" w:hAnsi="仿宋" w:eastAsia="仿宋" w:cs="仿宋"/>
          <w:color w:val="auto"/>
          <w:sz w:val="32"/>
          <w:szCs w:val="32"/>
          <w:lang w:val="zh-CN"/>
        </w:rPr>
        <w:t>510.31万元。与</w:t>
      </w:r>
      <w:r>
        <w:rPr>
          <w:rFonts w:hint="eastAsia" w:ascii="仿宋" w:hAnsi="仿宋" w:eastAsia="仿宋" w:cs="仿宋"/>
          <w:color w:val="auto"/>
          <w:sz w:val="32"/>
          <w:szCs w:val="32"/>
          <w:lang w:val="en-US"/>
        </w:rPr>
        <w:t>上</w:t>
      </w:r>
      <w:r>
        <w:rPr>
          <w:rFonts w:hint="eastAsia" w:ascii="仿宋" w:hAnsi="仿宋" w:eastAsia="仿宋" w:cs="仿宋"/>
          <w:color w:val="auto"/>
          <w:sz w:val="32"/>
          <w:szCs w:val="32"/>
          <w:lang w:val="zh-CN"/>
        </w:rPr>
        <w:t>年相比,各减少79.63万元,下降13.5%。</w:t>
      </w:r>
      <w:r>
        <w:rPr>
          <w:rFonts w:hint="eastAsia" w:ascii="Times New Roman" w:hAnsi="Times New Roman" w:eastAsia="仿宋_GB2312"/>
          <w:sz w:val="32"/>
          <w:szCs w:val="32"/>
        </w:rPr>
        <w:t>主要原因是本年度年初结转和结余比上年度资金少。</w:t>
      </w:r>
    </w:p>
    <w:p w14:paraId="446B6FED">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五、一般公共预算财政拨款支出决算情况说明</w:t>
      </w:r>
    </w:p>
    <w:p w14:paraId="3B7596FD">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（一）一般公共预算财政拨款支出决算总体情况</w:t>
      </w:r>
    </w:p>
    <w:p w14:paraId="77496F7B">
      <w:pPr>
        <w:spacing w:before="100" w:after="100"/>
        <w:ind w:firstLine="640" w:firstLineChars="200"/>
        <w:jc w:val="left"/>
        <w:rPr>
          <w:rFonts w:hint="eastAsia" w:ascii="仿宋" w:hAnsi="仿宋" w:eastAsia="仿宋" w:cs="仿宋"/>
          <w:color w:val="FF0000"/>
          <w:sz w:val="32"/>
          <w:szCs w:val="32"/>
          <w:lang w:val="zh-CN"/>
        </w:rPr>
      </w:pPr>
      <w:r>
        <w:rPr>
          <w:rFonts w:hint="eastAsia" w:ascii="仿宋" w:hAnsi="仿宋" w:eastAsia="仿宋" w:cs="仿宋"/>
          <w:color w:val="auto"/>
          <w:sz w:val="32"/>
          <w:szCs w:val="32"/>
          <w:lang w:val="zh-CN"/>
        </w:rPr>
        <w:t>2023年度一般公共预算财政拨款支出510.31万元,较上年决算数增加137.28万元,增长36.8%。</w:t>
      </w:r>
      <w:r>
        <w:rPr>
          <w:rFonts w:hint="eastAsia" w:ascii="Times New Roman" w:hAnsi="Times New Roman" w:eastAsia="仿宋_GB2312"/>
          <w:sz w:val="32"/>
          <w:szCs w:val="32"/>
        </w:rPr>
        <w:t>主要原因是人员工资晋级。</w:t>
      </w:r>
    </w:p>
    <w:p w14:paraId="7158A4EE">
      <w:pPr>
        <w:numPr>
          <w:ilvl w:val="0"/>
          <w:numId w:val="1"/>
        </w:num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一般公共预算财政拨款支出决算结构情况</w:t>
      </w:r>
    </w:p>
    <w:p w14:paraId="528C81F4">
      <w:pPr>
        <w:numPr>
          <w:ilvl w:val="0"/>
          <w:numId w:val="0"/>
        </w:numPr>
        <w:spacing w:before="100" w:beforeLines="0" w:after="100" w:afterLines="0"/>
        <w:ind w:firstLine="640" w:firstLineChars="200"/>
        <w:jc w:val="left"/>
        <w:rPr>
          <w:rFonts w:hint="eastAsia" w:ascii="仿宋" w:hAnsi="仿宋" w:eastAsia="仿宋" w:cs="仿宋"/>
          <w:color w:val="FF0000"/>
          <w:sz w:val="32"/>
          <w:szCs w:val="32"/>
          <w:lang w:val="zh-CN"/>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w:t>
      </w:r>
      <w:r>
        <w:rPr>
          <w:rFonts w:hint="eastAsia" w:ascii="仿宋" w:hAnsi="仿宋" w:eastAsia="仿宋" w:cs="仿宋"/>
          <w:color w:val="auto"/>
          <w:sz w:val="32"/>
          <w:szCs w:val="32"/>
          <w:lang w:val="zh-CN"/>
        </w:rPr>
        <w:t>510.31万元，主要用于以下方面：教育支出445.50万元,占87.3%；社会保障和就业支出41.96万元,占8.22%；卫生健康支出22.85万元,占4.48%；</w:t>
      </w:r>
    </w:p>
    <w:p w14:paraId="32C3DFF9">
      <w:pPr>
        <w:numPr>
          <w:ilvl w:val="0"/>
          <w:numId w:val="1"/>
        </w:numPr>
        <w:spacing w:before="100" w:beforeLines="0" w:after="100" w:afterLines="0"/>
        <w:ind w:left="0" w:leftChars="0" w:firstLine="0" w:firstLineChar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一般公共预算财政拨款支出决算具体情况。</w:t>
      </w:r>
    </w:p>
    <w:p w14:paraId="722A066D">
      <w:pPr>
        <w:numPr>
          <w:ilvl w:val="0"/>
          <w:numId w:val="0"/>
        </w:numPr>
        <w:spacing w:before="100" w:beforeLines="0" w:after="100" w:afterLines="0"/>
        <w:ind w:leftChars="0"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2023年度一般公共预算财政拨款支出年初预算为</w:t>
      </w:r>
      <w:r>
        <w:rPr>
          <w:rFonts w:hint="eastAsia" w:ascii="仿宋" w:hAnsi="仿宋" w:eastAsia="仿宋" w:cs="仿宋"/>
          <w:color w:val="auto"/>
          <w:sz w:val="32"/>
          <w:szCs w:val="32"/>
          <w:lang w:val="zh-CN"/>
        </w:rPr>
        <w:t>373.33万元,支出决算为510.31万元,完成年初预算的136.69%。</w:t>
      </w:r>
      <w:r>
        <w:rPr>
          <w:rFonts w:hint="eastAsia" w:ascii="仿宋" w:hAnsi="仿宋" w:eastAsia="仿宋" w:cs="仿宋"/>
          <w:color w:val="auto"/>
          <w:sz w:val="32"/>
          <w:szCs w:val="32"/>
          <w:lang w:val="en-US" w:eastAsia="zh-CN"/>
        </w:rPr>
        <w:t>其中：</w:t>
      </w:r>
    </w:p>
    <w:p w14:paraId="7CE1A398">
      <w:pPr>
        <w:spacing w:before="100" w:after="100"/>
        <w:ind w:firstLine="643" w:firstLineChars="200"/>
        <w:jc w:val="left"/>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lang w:val="zh-CN"/>
        </w:rPr>
        <w:t>．教育支出</w:t>
      </w:r>
      <w:r>
        <w:rPr>
          <w:rFonts w:hint="eastAsia" w:ascii="仿宋" w:hAnsi="仿宋" w:eastAsia="仿宋" w:cs="仿宋"/>
          <w:color w:val="auto"/>
          <w:sz w:val="32"/>
          <w:szCs w:val="32"/>
          <w:lang w:val="zh-CN"/>
        </w:rPr>
        <w:t>年初预算数为302.97万元,支出决算为445.50万元,完成年初预算的147.04%,</w:t>
      </w:r>
      <w:r>
        <w:rPr>
          <w:rFonts w:hint="eastAsia" w:ascii="Times New Roman" w:hAnsi="Times New Roman" w:eastAsia="仿宋_GB2312"/>
          <w:sz w:val="32"/>
          <w:szCs w:val="32"/>
        </w:rPr>
        <w:t>决算数大于预算数的主要原因是本年支出含上年结转经费。</w:t>
      </w:r>
    </w:p>
    <w:p w14:paraId="0A556C37">
      <w:pPr>
        <w:spacing w:before="100" w:after="100"/>
        <w:ind w:firstLine="643" w:firstLineChars="200"/>
        <w:jc w:val="left"/>
        <w:rPr>
          <w:rFonts w:hint="eastAsia" w:ascii="Times New Roman" w:hAnsi="Times New Roman" w:eastAsia="仿宋_GB2312"/>
          <w:sz w:val="32"/>
          <w:szCs w:val="32"/>
        </w:rPr>
      </w:pPr>
      <w:r>
        <w:rPr>
          <w:rFonts w:hint="eastAsia" w:ascii="仿宋" w:hAnsi="仿宋" w:eastAsia="仿宋" w:cs="仿宋"/>
          <w:b/>
          <w:color w:val="auto"/>
          <w:sz w:val="32"/>
          <w:szCs w:val="32"/>
          <w:lang w:val="en-US" w:eastAsia="zh-CN"/>
        </w:rPr>
        <w:t>2</w:t>
      </w:r>
      <w:r>
        <w:rPr>
          <w:rFonts w:hint="eastAsia" w:ascii="仿宋" w:hAnsi="仿宋" w:eastAsia="仿宋" w:cs="仿宋"/>
          <w:b/>
          <w:color w:val="auto"/>
          <w:sz w:val="32"/>
          <w:szCs w:val="32"/>
          <w:lang w:val="zh-CN"/>
        </w:rPr>
        <w:t>．社会保障和就业支出</w:t>
      </w:r>
      <w:r>
        <w:rPr>
          <w:rFonts w:hint="eastAsia" w:ascii="仿宋" w:hAnsi="仿宋" w:eastAsia="仿宋" w:cs="仿宋"/>
          <w:color w:val="auto"/>
          <w:sz w:val="32"/>
          <w:szCs w:val="32"/>
          <w:lang w:val="zh-CN"/>
        </w:rPr>
        <w:t>年初预算数为50.63万元,支出决算为41.96万元,完成年初预算的82.89%,</w:t>
      </w:r>
      <w:r>
        <w:rPr>
          <w:rFonts w:hint="eastAsia" w:ascii="Times New Roman" w:hAnsi="Times New Roman" w:eastAsia="仿宋_GB2312"/>
          <w:sz w:val="32"/>
          <w:szCs w:val="32"/>
        </w:rPr>
        <w:t>决算数小于预算数的主要原因是未入编人员养老保险未缴纳。</w:t>
      </w:r>
    </w:p>
    <w:p w14:paraId="3ED42539">
      <w:pPr>
        <w:spacing w:before="100" w:after="100"/>
        <w:ind w:firstLine="643" w:firstLineChars="200"/>
        <w:jc w:val="left"/>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en-US" w:eastAsia="zh-CN"/>
        </w:rPr>
        <w:t>3</w:t>
      </w:r>
      <w:r>
        <w:rPr>
          <w:rFonts w:hint="eastAsia" w:ascii="仿宋" w:hAnsi="仿宋" w:eastAsia="仿宋" w:cs="仿宋"/>
          <w:b/>
          <w:color w:val="auto"/>
          <w:sz w:val="32"/>
          <w:szCs w:val="32"/>
          <w:lang w:val="zh-CN"/>
        </w:rPr>
        <w:t>．卫生健康支出</w:t>
      </w:r>
      <w:r>
        <w:rPr>
          <w:rFonts w:hint="eastAsia" w:ascii="仿宋" w:hAnsi="仿宋" w:eastAsia="仿宋" w:cs="仿宋"/>
          <w:color w:val="auto"/>
          <w:sz w:val="32"/>
          <w:szCs w:val="32"/>
          <w:lang w:val="zh-CN"/>
        </w:rPr>
        <w:t>年初预算数为19.73万元,支出决算为22.85万元,完成年初预算的115.84%,</w:t>
      </w:r>
      <w:r>
        <w:rPr>
          <w:rFonts w:hint="eastAsia" w:ascii="Times New Roman" w:hAnsi="Times New Roman" w:eastAsia="仿宋_GB2312"/>
          <w:sz w:val="32"/>
          <w:szCs w:val="32"/>
        </w:rPr>
        <w:t>决算数大于预算数的主要原因是本年将基础性绩效算入医疗保险基数。</w:t>
      </w:r>
    </w:p>
    <w:p w14:paraId="74E755D3">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六、一般公共预算财政拨款基本支出决算情况说明</w:t>
      </w:r>
    </w:p>
    <w:p w14:paraId="78D970E7">
      <w:pPr>
        <w:spacing w:before="100" w:beforeLines="0" w:after="100" w:afterLines="0"/>
        <w:ind w:firstLine="640" w:firstLineChars="20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2023年度一般公共预算财政拨款基本支出437.87万元。其中：</w:t>
      </w:r>
    </w:p>
    <w:p w14:paraId="24BD52BB">
      <w:pPr>
        <w:spacing w:before="100" w:after="100"/>
        <w:ind w:firstLine="643" w:firstLineChars="200"/>
        <w:jc w:val="left"/>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人员经费</w:t>
      </w:r>
      <w:r>
        <w:rPr>
          <w:rFonts w:hint="eastAsia" w:ascii="仿宋" w:hAnsi="仿宋" w:eastAsia="仿宋" w:cs="仿宋"/>
          <w:color w:val="auto"/>
          <w:sz w:val="32"/>
          <w:szCs w:val="32"/>
          <w:lang w:val="zh-CN"/>
        </w:rPr>
        <w:t>400.70万元,较上年决算数增加93.58万元,增长30.47%,</w:t>
      </w:r>
      <w:r>
        <w:rPr>
          <w:rFonts w:hint="eastAsia" w:ascii="Times New Roman" w:hAnsi="Times New Roman" w:eastAsia="仿宋_GB2312"/>
          <w:sz w:val="32"/>
          <w:szCs w:val="32"/>
        </w:rPr>
        <w:t>主要原因是人员工资正常晋级。人员经费用途主要包括：基本工资、津贴补贴、奖金、社会保障缴费。</w:t>
      </w:r>
    </w:p>
    <w:p w14:paraId="6B2FC2EB">
      <w:pPr>
        <w:spacing w:before="100" w:after="100"/>
        <w:ind w:firstLine="643" w:firstLineChars="200"/>
        <w:jc w:val="left"/>
        <w:rPr>
          <w:rFonts w:hint="eastAsia" w:ascii="Times New Roman" w:hAnsi="Times New Roman" w:eastAsia="仿宋_GB2312"/>
          <w:sz w:val="32"/>
          <w:szCs w:val="32"/>
        </w:rPr>
      </w:pPr>
      <w:r>
        <w:rPr>
          <w:rFonts w:hint="eastAsia" w:ascii="仿宋" w:hAnsi="仿宋" w:eastAsia="仿宋" w:cs="仿宋"/>
          <w:b/>
          <w:color w:val="auto"/>
          <w:sz w:val="32"/>
          <w:szCs w:val="32"/>
          <w:lang w:val="zh-CN"/>
        </w:rPr>
        <w:t>公用经费</w:t>
      </w:r>
      <w:r>
        <w:rPr>
          <w:rFonts w:hint="eastAsia" w:ascii="仿宋" w:hAnsi="仿宋" w:eastAsia="仿宋" w:cs="仿宋"/>
          <w:color w:val="auto"/>
          <w:sz w:val="32"/>
          <w:szCs w:val="32"/>
          <w:lang w:val="zh-CN"/>
        </w:rPr>
        <w:t>37.17万元,较上年决算数减少28.74万元,下降43.61%,</w:t>
      </w:r>
      <w:r>
        <w:rPr>
          <w:rFonts w:hint="eastAsia" w:ascii="Times New Roman" w:hAnsi="Times New Roman" w:eastAsia="仿宋_GB2312"/>
          <w:sz w:val="32"/>
          <w:szCs w:val="32"/>
        </w:rPr>
        <w:t>公用经费用途主要包括：办公费、印刷费、电费、水费、通讯费、差旅费、培训费、发展资金。</w:t>
      </w:r>
    </w:p>
    <w:p w14:paraId="5655A4B7">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七、政府性基金预算财政拨款收支决算情况说明</w:t>
      </w:r>
    </w:p>
    <w:p w14:paraId="4A486038">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本部门2023年度无政府性基金收入,也没有使用政府性基金安排的支出。</w:t>
      </w:r>
    </w:p>
    <w:p w14:paraId="6A590FBF">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八、国有资本经营预算财政拨款支出情况说明</w:t>
      </w:r>
    </w:p>
    <w:p w14:paraId="245896F2">
      <w:pPr>
        <w:spacing w:before="100" w:after="100"/>
        <w:ind w:firstLine="640" w:firstLineChars="200"/>
        <w:jc w:val="left"/>
        <w:rPr>
          <w:rFonts w:hint="eastAsia" w:ascii="仿宋" w:hAnsi="仿宋" w:eastAsia="仿宋" w:cs="仿宋"/>
          <w:color w:val="FF0000"/>
          <w:sz w:val="32"/>
          <w:szCs w:val="32"/>
          <w:lang w:val="zh-CN"/>
        </w:rPr>
      </w:pPr>
      <w:r>
        <w:rPr>
          <w:rFonts w:hint="eastAsia" w:ascii="Times New Roman" w:hAnsi="Times New Roman" w:eastAsia="仿宋_GB2312"/>
          <w:sz w:val="32"/>
          <w:szCs w:val="32"/>
        </w:rPr>
        <w:t>本部门2023年度没有使用国有资本经营预算安排的支出。</w:t>
      </w:r>
    </w:p>
    <w:p w14:paraId="5A50A1A2">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lang w:val="zh-CN" w:eastAsia="zh-CN"/>
        </w:rPr>
        <w:t>、财政拨款</w:t>
      </w:r>
      <w:r>
        <w:rPr>
          <w:rFonts w:hint="eastAsia" w:ascii="仿宋" w:hAnsi="仿宋" w:eastAsia="仿宋" w:cs="仿宋"/>
          <w:b/>
          <w:bCs/>
          <w:color w:val="auto"/>
          <w:sz w:val="32"/>
          <w:szCs w:val="32"/>
          <w:lang w:val="zh-CN" w:eastAsia="zh-CN"/>
        </w:rPr>
        <w:t>“</w:t>
      </w:r>
      <w:r>
        <w:rPr>
          <w:rFonts w:hint="eastAsia" w:ascii="仿宋" w:hAnsi="仿宋" w:eastAsia="仿宋" w:cs="仿宋"/>
          <w:b/>
          <w:bCs/>
          <w:color w:val="auto"/>
          <w:sz w:val="32"/>
          <w:szCs w:val="32"/>
          <w:lang w:val="zh-CN" w:eastAsia="zh-CN"/>
        </w:rPr>
        <w:t>三公</w:t>
      </w:r>
      <w:r>
        <w:rPr>
          <w:rFonts w:hint="eastAsia" w:ascii="仿宋" w:hAnsi="仿宋" w:eastAsia="仿宋" w:cs="仿宋"/>
          <w:b/>
          <w:bCs/>
          <w:color w:val="auto"/>
          <w:sz w:val="32"/>
          <w:szCs w:val="32"/>
          <w:lang w:val="zh-CN" w:eastAsia="zh-CN"/>
        </w:rPr>
        <w:t>”</w:t>
      </w:r>
      <w:r>
        <w:rPr>
          <w:rFonts w:hint="eastAsia" w:ascii="仿宋" w:hAnsi="仿宋" w:eastAsia="仿宋" w:cs="仿宋"/>
          <w:b/>
          <w:bCs/>
          <w:color w:val="auto"/>
          <w:sz w:val="32"/>
          <w:szCs w:val="32"/>
          <w:lang w:val="zh-CN" w:eastAsia="zh-CN"/>
        </w:rPr>
        <w:t>经费支出决算情况说明</w:t>
      </w:r>
    </w:p>
    <w:p w14:paraId="1594002A">
      <w:pPr>
        <w:spacing w:before="100" w:beforeLines="0" w:after="100" w:afterLines="0"/>
        <w:jc w:val="left"/>
        <w:rPr>
          <w:rFonts w:hint="eastAsia" w:ascii="Times New Roman" w:hAnsi="Times New Roman" w:eastAsia="仿宋_GB2312"/>
          <w:sz w:val="32"/>
          <w:szCs w:val="32"/>
        </w:rPr>
      </w:pPr>
      <w:r>
        <w:rPr>
          <w:rFonts w:hint="eastAsia" w:ascii="Times New Roman" w:hAnsi="Times New Roman" w:eastAsia="仿宋_GB2312"/>
          <w:sz w:val="32"/>
          <w:szCs w:val="32"/>
        </w:rPr>
        <w:t>我单位属于全额拨款的公益一类事业单位,财政未保障我单位</w:t>
      </w:r>
      <w:r>
        <w:rPr>
          <w:rFonts w:ascii="Times New Roman" w:hAnsi="Times New Roman" w:eastAsia="仿宋_GB2312"/>
          <w:sz w:val="32"/>
          <w:szCs w:val="32"/>
        </w:rPr>
        <w:t>“</w:t>
      </w:r>
      <w:r>
        <w:rPr>
          <w:rFonts w:hint="eastAsia" w:ascii="Times New Roman" w:hAnsi="Times New Roman" w:eastAsia="仿宋_GB2312"/>
          <w:sz w:val="32"/>
          <w:szCs w:val="32"/>
        </w:rPr>
        <w:t>三公</w:t>
      </w:r>
      <w:r>
        <w:rPr>
          <w:rFonts w:ascii="Times New Roman" w:hAnsi="Times New Roman" w:eastAsia="仿宋_GB2312"/>
          <w:sz w:val="32"/>
          <w:szCs w:val="32"/>
        </w:rPr>
        <w:t>”</w:t>
      </w:r>
      <w:r>
        <w:rPr>
          <w:rFonts w:hint="eastAsia" w:ascii="Times New Roman" w:hAnsi="Times New Roman" w:eastAsia="仿宋_GB2312"/>
          <w:sz w:val="32"/>
          <w:szCs w:val="32"/>
        </w:rPr>
        <w:t>经费。</w:t>
      </w:r>
    </w:p>
    <w:p w14:paraId="37CEFB2F">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(一)</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经费财政拨款支出总体情况说明</w:t>
      </w:r>
    </w:p>
    <w:p w14:paraId="23A02339">
      <w:pPr>
        <w:spacing w:before="100" w:after="100"/>
        <w:ind w:firstLine="640" w:firstLineChars="200"/>
        <w:jc w:val="left"/>
        <w:rPr>
          <w:rFonts w:hint="eastAsia" w:ascii="仿宋" w:hAnsi="仿宋" w:eastAsia="仿宋" w:cs="仿宋"/>
          <w:color w:val="auto"/>
          <w:sz w:val="32"/>
          <w:szCs w:val="32"/>
          <w:lang w:val="zh-CN"/>
        </w:rPr>
      </w:pPr>
      <w:r>
        <w:rPr>
          <w:rFonts w:hint="eastAsia" w:ascii="Times New Roman" w:hAnsi="Times New Roman" w:eastAsia="仿宋_GB2312"/>
          <w:sz w:val="32"/>
          <w:szCs w:val="32"/>
        </w:rPr>
        <w:t>我单位无三公经费支出</w:t>
      </w:r>
    </w:p>
    <w:p w14:paraId="23EE30E6">
      <w:pPr>
        <w:numPr>
          <w:ilvl w:val="0"/>
          <w:numId w:val="2"/>
        </w:numPr>
        <w:spacing w:before="100" w:beforeLines="0" w:after="100" w:afterLines="0"/>
        <w:jc w:val="left"/>
        <w:rPr>
          <w:rFonts w:hint="eastAsia" w:ascii="仿宋" w:hAnsi="仿宋" w:eastAsia="仿宋" w:cs="仿宋"/>
          <w:b/>
          <w:color w:val="auto"/>
          <w:sz w:val="32"/>
          <w:szCs w:val="32"/>
          <w:lang w:val="zh-CN"/>
        </w:rPr>
      </w:pP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经费财政拨款支出决算具体情况说明</w:t>
      </w:r>
    </w:p>
    <w:p w14:paraId="40956138">
      <w:pPr>
        <w:spacing w:before="100" w:after="100"/>
        <w:ind w:firstLine="640" w:firstLineChars="200"/>
        <w:jc w:val="left"/>
        <w:rPr>
          <w:rFonts w:hint="eastAsia"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因公出国(境)费用全年预算数为0.00万元,支出决算为0.00万元 ,较上年决算数减少0.0万元。</w:t>
      </w:r>
    </w:p>
    <w:p w14:paraId="3DBF76C3">
      <w:pPr>
        <w:spacing w:before="100" w:after="100"/>
        <w:ind w:firstLine="640" w:firstLineChars="200"/>
        <w:jc w:val="left"/>
        <w:rPr>
          <w:rFonts w:hint="eastAsia"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公务用车购置及运行维护费全年预算数为0.00万元,支出决算为0.00万元,较上年决算数减少0.0万元。</w:t>
      </w:r>
    </w:p>
    <w:p w14:paraId="753BF360">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其中：公务用车购置费全年预算数为0.00万元,支出决算为0.00万元,较上年决算数减少0.0万元。</w:t>
      </w:r>
    </w:p>
    <w:p w14:paraId="17F4903B">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公务用车运行维护费全年预算数为0.00万元,支出决算为0.00万元 ,较上年决算数减少0.0万元。</w:t>
      </w:r>
    </w:p>
    <w:p w14:paraId="1C4DDFB5">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公务接待费全年预算数为0.00万元,支出决算为0.00万元,较上年决算数减少0.0万元。</w:t>
      </w:r>
    </w:p>
    <w:p w14:paraId="728BE609">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外事接待费支出0.00万元</w:t>
      </w:r>
    </w:p>
    <w:p w14:paraId="7C04EBD0">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其他国内公务接待支出0.00万元。</w:t>
      </w:r>
    </w:p>
    <w:p w14:paraId="256D8B15">
      <w:pPr>
        <w:numPr>
          <w:ilvl w:val="0"/>
          <w:numId w:val="2"/>
        </w:numPr>
        <w:spacing w:before="100" w:beforeLines="0" w:after="100" w:afterLines="0"/>
        <w:ind w:left="0" w:leftChars="0" w:firstLine="0" w:firstLineChars="0"/>
        <w:jc w:val="left"/>
        <w:rPr>
          <w:rFonts w:hint="eastAsia" w:ascii="仿宋" w:hAnsi="仿宋" w:eastAsia="仿宋" w:cs="仿宋"/>
          <w:b/>
          <w:color w:val="auto"/>
          <w:sz w:val="32"/>
          <w:szCs w:val="32"/>
          <w:lang w:val="zh-CN"/>
        </w:rPr>
      </w:pP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经费财政拨款支出决算实物量情况</w:t>
      </w:r>
    </w:p>
    <w:p w14:paraId="29CEA165">
      <w:pPr>
        <w:spacing w:before="100" w:after="100"/>
        <w:ind w:firstLine="640" w:firstLineChars="200"/>
        <w:jc w:val="left"/>
        <w:rPr>
          <w:rFonts w:hint="eastAsia" w:ascii="仿宋" w:hAnsi="仿宋" w:eastAsia="仿宋" w:cs="仿宋"/>
          <w:color w:val="auto"/>
          <w:sz w:val="32"/>
          <w:szCs w:val="32"/>
          <w:lang w:val="zh-CN"/>
        </w:rPr>
      </w:pPr>
      <w:r>
        <w:rPr>
          <w:rFonts w:hint="eastAsia" w:ascii="Times New Roman" w:hAnsi="Times New Roman" w:eastAsia="仿宋_GB2312"/>
          <w:sz w:val="32"/>
          <w:szCs w:val="32"/>
        </w:rPr>
        <w:t>2023年度本部门因公出国(境)共计0个团组,0人；公务用车购置0辆,公务用车保有量为0辆；国内公务接待批次0人,其中：外事接待0批次,0人；国(境)外公务接待0批次,0人。</w:t>
      </w:r>
    </w:p>
    <w:p w14:paraId="242670EB">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十</w:t>
      </w:r>
      <w:r>
        <w:rPr>
          <w:rFonts w:hint="eastAsia" w:ascii="仿宋" w:hAnsi="仿宋" w:eastAsia="仿宋" w:cs="仿宋"/>
          <w:b/>
          <w:bCs/>
          <w:color w:val="auto"/>
          <w:sz w:val="32"/>
          <w:szCs w:val="32"/>
          <w:lang w:val="zh-CN" w:eastAsia="zh-CN"/>
        </w:rPr>
        <w:t>、机关运行经费支出情况说明</w:t>
      </w:r>
    </w:p>
    <w:p w14:paraId="46396C2B">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我单位2023年度无机关运行相关经费。</w:t>
      </w:r>
    </w:p>
    <w:p w14:paraId="54AAE9A5">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十一、政府采购支出情况说明</w:t>
      </w:r>
    </w:p>
    <w:p w14:paraId="42DC9753">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我单位2023年度无政府采购相关经费。</w:t>
      </w:r>
    </w:p>
    <w:p w14:paraId="1F989D10">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十二</w:t>
      </w:r>
      <w:r>
        <w:rPr>
          <w:rFonts w:hint="eastAsia" w:ascii="仿宋" w:hAnsi="仿宋" w:eastAsia="仿宋" w:cs="仿宋"/>
          <w:b/>
          <w:bCs/>
          <w:color w:val="auto"/>
          <w:sz w:val="32"/>
          <w:szCs w:val="32"/>
          <w:lang w:val="zh-CN" w:eastAsia="zh-CN"/>
        </w:rPr>
        <w:t>、国有资产占用情况说明</w:t>
      </w:r>
    </w:p>
    <w:p w14:paraId="2D795CF4">
      <w:pPr>
        <w:spacing w:before="100" w:beforeLines="0" w:after="100" w:afterLines="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w:t>
      </w:r>
      <w:r>
        <w:rPr>
          <w:rFonts w:hint="eastAsia" w:ascii="仿宋" w:hAnsi="仿宋" w:eastAsia="仿宋" w:cs="仿宋"/>
          <w:color w:val="FF0000"/>
          <w:sz w:val="32"/>
          <w:szCs w:val="32"/>
          <w:lang w:val="zh-CN"/>
        </w:rPr>
        <w:t>。</w:t>
      </w:r>
      <w:r>
        <w:rPr>
          <w:rFonts w:hint="eastAsia" w:ascii="仿宋" w:hAnsi="仿宋" w:eastAsia="仿宋" w:cs="仿宋"/>
          <w:color w:val="auto"/>
          <w:sz w:val="32"/>
          <w:szCs w:val="32"/>
          <w:lang w:val="zh-CN"/>
        </w:rPr>
        <w:t>单价100万元(含)以上设备0台(套)。</w:t>
      </w:r>
    </w:p>
    <w:p w14:paraId="7B523A24">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十三、其他需要说明的情况</w:t>
      </w:r>
    </w:p>
    <w:p w14:paraId="085B343E">
      <w:pPr>
        <w:spacing w:before="100" w:beforeLines="0" w:after="100" w:afterLines="0"/>
        <w:ind w:firstLine="640" w:firstLineChars="200"/>
        <w:jc w:val="left"/>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由于决算公开表格中金额数值应当保留两位小数，公开数据为四舍五入计算结果，个别数据合计项与分项之和存在小数点后差额，特此说明。</w:t>
      </w:r>
    </w:p>
    <w:p w14:paraId="75A2AB79">
      <w:pPr>
        <w:spacing w:before="100" w:beforeLines="0" w:after="100" w:afterLines="0"/>
        <w:jc w:val="left"/>
        <w:rPr>
          <w:rFonts w:hint="eastAsia" w:ascii="仿宋" w:hAnsi="仿宋" w:eastAsia="仿宋" w:cs="仿宋"/>
          <w:color w:val="FF0000"/>
          <w:sz w:val="32"/>
          <w:szCs w:val="32"/>
          <w:lang w:val="zh-CN"/>
        </w:rPr>
      </w:pPr>
    </w:p>
    <w:p w14:paraId="796EF080">
      <w:pPr>
        <w:spacing w:before="100" w:beforeLines="0" w:after="100" w:afterLines="0"/>
        <w:jc w:val="left"/>
        <w:rPr>
          <w:rFonts w:hint="eastAsia" w:ascii="仿宋" w:hAnsi="仿宋" w:eastAsia="仿宋" w:cs="仿宋"/>
          <w:color w:val="auto"/>
          <w:sz w:val="32"/>
          <w:szCs w:val="32"/>
          <w:lang w:val="zh-CN"/>
        </w:rPr>
      </w:pPr>
    </w:p>
    <w:p w14:paraId="29E7C70F">
      <w:pPr>
        <w:spacing w:before="100" w:beforeLines="0" w:after="100" w:afterLines="0"/>
        <w:jc w:val="center"/>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第四部分</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lang w:val="zh-CN" w:eastAsia="zh-CN"/>
        </w:rPr>
        <w:t>预算绩效情况说明</w:t>
      </w:r>
    </w:p>
    <w:p w14:paraId="0C700620">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一、预算绩效管理工作开展情况</w:t>
      </w:r>
    </w:p>
    <w:p w14:paraId="26C91C37">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根据预算绩效管理要求,本部门对2023年度一般公共预算项目支出全面开展绩效自评,其中,一级项目1个,二级项目0个,共涉及资金</w:t>
      </w:r>
      <w:r>
        <w:rPr>
          <w:rFonts w:hint="eastAsia" w:ascii="Times New Roman" w:hAnsi="Times New Roman" w:eastAsia="仿宋_GB2312"/>
          <w:sz w:val="32"/>
          <w:szCs w:val="32"/>
          <w:lang w:val="en-US" w:eastAsia="zh-CN"/>
        </w:rPr>
        <w:t>510.31</w:t>
      </w:r>
      <w:r>
        <w:rPr>
          <w:rFonts w:hint="eastAsia" w:ascii="Times New Roman" w:hAnsi="Times New Roman" w:eastAsia="仿宋_GB2312"/>
          <w:sz w:val="32"/>
          <w:szCs w:val="32"/>
        </w:rPr>
        <w:t>万元,占一般公共预算项目支出总额的100%。对2023年度 0个政府性基金预算项目开展绩效自评,共涉及资金0万元,占政府性基金预算项目支出总额的0%。组织对2023年度0个国有资本经营预算项目开展绩效自评,共涉及资金0万元,占国有资本经营预算项目支出总额的0%。组织对“</w:t>
      </w:r>
      <w:r>
        <w:rPr>
          <w:rFonts w:ascii="仿宋_GB2312" w:hAnsi="宋体" w:eastAsia="仿宋_GB2312"/>
          <w:color w:val="000000" w:themeColor="text1"/>
          <w:kern w:val="0"/>
          <w:sz w:val="32"/>
          <w:szCs w:val="32"/>
          <w14:textFill>
            <w14:solidFill>
              <w14:schemeClr w14:val="tx1"/>
            </w14:solidFill>
          </w14:textFill>
        </w:rPr>
        <w:t>202</w:t>
      </w:r>
      <w:r>
        <w:rPr>
          <w:rFonts w:hint="eastAsia" w:ascii="仿宋_GB2312" w:hAnsi="宋体" w:eastAsia="仿宋_GB2312"/>
          <w:color w:val="000000" w:themeColor="text1"/>
          <w:kern w:val="0"/>
          <w:sz w:val="32"/>
          <w:szCs w:val="32"/>
          <w14:textFill>
            <w14:solidFill>
              <w14:schemeClr w14:val="tx1"/>
            </w14:solidFill>
          </w14:textFill>
        </w:rPr>
        <w:t>3年农村义务教育阶营养改善计划”“</w:t>
      </w:r>
      <w:r>
        <w:rPr>
          <w:rFonts w:ascii="仿宋_GB2312" w:hAnsi="宋体" w:eastAsia="仿宋_GB2312"/>
          <w:color w:val="000000" w:themeColor="text1"/>
          <w:kern w:val="0"/>
          <w:sz w:val="32"/>
          <w:szCs w:val="32"/>
          <w14:textFill>
            <w14:solidFill>
              <w14:schemeClr w14:val="tx1"/>
            </w14:solidFill>
          </w14:textFill>
        </w:rPr>
        <w:t>202</w:t>
      </w:r>
      <w:r>
        <w:rPr>
          <w:rFonts w:hint="eastAsia" w:ascii="仿宋_GB2312" w:hAnsi="宋体" w:eastAsia="仿宋_GB2312"/>
          <w:color w:val="000000" w:themeColor="text1"/>
          <w:kern w:val="0"/>
          <w:sz w:val="32"/>
          <w:szCs w:val="32"/>
          <w14:textFill>
            <w14:solidFill>
              <w14:schemeClr w14:val="tx1"/>
            </w14:solidFill>
          </w14:textFill>
        </w:rPr>
        <w:t>3年农村义务教育阶段困难学生生活补助”</w:t>
      </w:r>
      <w:r>
        <w:rPr>
          <w:rFonts w:hint="eastAsia" w:ascii="Times New Roman" w:hAnsi="Times New Roman" w:eastAsia="仿宋_GB2312"/>
          <w:sz w:val="32"/>
          <w:szCs w:val="32"/>
        </w:rPr>
        <w:t>等2个项目开展了部门评价,涉及一般公共预算支出</w:t>
      </w:r>
      <w:r>
        <w:rPr>
          <w:rFonts w:hint="eastAsia" w:ascii="Times New Roman" w:hAnsi="Times New Roman" w:eastAsia="仿宋_GB2312"/>
          <w:sz w:val="32"/>
          <w:szCs w:val="32"/>
          <w:lang w:val="en-US" w:eastAsia="zh-CN"/>
        </w:rPr>
        <w:t>9.98</w:t>
      </w:r>
      <w:r>
        <w:rPr>
          <w:rFonts w:hint="eastAsia" w:ascii="Times New Roman" w:hAnsi="Times New Roman" w:eastAsia="仿宋_GB2312"/>
          <w:sz w:val="32"/>
          <w:szCs w:val="32"/>
        </w:rPr>
        <w:t>万元。从评价情况来看,</w:t>
      </w:r>
      <w:r>
        <w:rPr>
          <w:rFonts w:hint="eastAsia"/>
        </w:rPr>
        <w:t xml:space="preserve"> </w:t>
      </w:r>
      <w:r>
        <w:rPr>
          <w:rFonts w:hint="eastAsia" w:ascii="Times New Roman" w:hAnsi="Times New Roman" w:eastAsia="仿宋_GB2312"/>
          <w:sz w:val="32"/>
          <w:szCs w:val="32"/>
        </w:rPr>
        <w:t>我单位项目绩效评价结果均为优。</w:t>
      </w:r>
    </w:p>
    <w:p w14:paraId="14085362">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二、绩效自评结果</w:t>
      </w:r>
    </w:p>
    <w:p w14:paraId="1A372206">
      <w:pPr>
        <w:spacing w:before="100" w:after="100"/>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我部门在2023年度部门决算中反映“2023年农村义务教育学生营养改善计划”、“2023年义务教育阶段家庭经济困难学生生活补助”等2个项目绩效自评结果。2023年农村义务教育学生营养改善计划项目绩效自评情况：根据年初设定的绩效目标,项目绩效自评得分为99分。项目全年预算数为</w:t>
      </w:r>
      <w:r>
        <w:rPr>
          <w:rFonts w:hint="eastAsia" w:ascii="Times New Roman" w:hAnsi="Times New Roman" w:eastAsia="仿宋_GB2312"/>
          <w:sz w:val="32"/>
          <w:szCs w:val="32"/>
          <w:lang w:val="en-US" w:eastAsia="zh-CN"/>
        </w:rPr>
        <w:t>7.7</w:t>
      </w:r>
      <w:r>
        <w:rPr>
          <w:rFonts w:hint="eastAsia" w:ascii="Times New Roman" w:hAnsi="Times New Roman" w:eastAsia="仿宋_GB2312"/>
          <w:sz w:val="32"/>
          <w:szCs w:val="32"/>
        </w:rPr>
        <w:t>万元,执行数为</w:t>
      </w:r>
      <w:r>
        <w:rPr>
          <w:rFonts w:hint="eastAsia" w:ascii="Times New Roman" w:hAnsi="Times New Roman" w:eastAsia="仿宋_GB2312"/>
          <w:sz w:val="32"/>
          <w:szCs w:val="32"/>
          <w:lang w:val="en-US" w:eastAsia="zh-CN"/>
        </w:rPr>
        <w:t>7.7</w:t>
      </w:r>
      <w:r>
        <w:rPr>
          <w:rFonts w:hint="eastAsia" w:ascii="Times New Roman" w:hAnsi="Times New Roman" w:eastAsia="仿宋_GB2312"/>
          <w:sz w:val="32"/>
          <w:szCs w:val="32"/>
        </w:rPr>
        <w:t>万元,完成预算的100%。项目绩效目标完成情况：一是保障了学生在校的正常用餐；二是提高了学生的生活水平。发现的主要问题及原因：学生生活水平提升幅度有限，原因是蔬菜肉类等食物价格高。下一步改进措施：尽可能与供货商进行商议，降低食材价格。2023年农村义务教育学生营养改善计划项目绩效自评情况：优。义务教育阶段家庭经济困难学生生活补助项目绩效自评情况：根据年初设定的绩效目标,项目绩效自评得分为99分。项目全年预算数为</w:t>
      </w:r>
      <w:r>
        <w:rPr>
          <w:rFonts w:hint="eastAsia" w:ascii="Times New Roman" w:hAnsi="Times New Roman" w:eastAsia="仿宋_GB2312"/>
          <w:sz w:val="32"/>
          <w:szCs w:val="32"/>
          <w:lang w:val="en-US" w:eastAsia="zh-CN"/>
        </w:rPr>
        <w:t>2.28</w:t>
      </w:r>
      <w:r>
        <w:rPr>
          <w:rFonts w:hint="eastAsia" w:ascii="Times New Roman" w:hAnsi="Times New Roman" w:eastAsia="仿宋_GB2312"/>
          <w:sz w:val="32"/>
          <w:szCs w:val="32"/>
        </w:rPr>
        <w:t>万元,执行数为</w:t>
      </w:r>
      <w:r>
        <w:rPr>
          <w:rFonts w:hint="eastAsia" w:ascii="Times New Roman" w:hAnsi="Times New Roman" w:eastAsia="仿宋_GB2312"/>
          <w:sz w:val="32"/>
          <w:szCs w:val="32"/>
          <w:lang w:val="en-US" w:eastAsia="zh-CN"/>
        </w:rPr>
        <w:t>2.28</w:t>
      </w:r>
      <w:r>
        <w:rPr>
          <w:rFonts w:hint="eastAsia" w:ascii="Times New Roman" w:hAnsi="Times New Roman" w:eastAsia="仿宋_GB2312"/>
          <w:sz w:val="32"/>
          <w:szCs w:val="32"/>
        </w:rPr>
        <w:t>万元,完成预算的100%。项目绩效目标完成情况：一是减轻了学生的经济负担；二是巩固脱贫攻坚成果，提高控辍保学巩固率。发现的主要问题及原因：部分学生未将该补助用于学习生活上，原因是学生思想不端正，未将学习放在首位。下一步改进措施：在学校组织召开主题班会，让学生意识到学习的重要性。义务教育阶段家庭经济困难学生生活补助项目绩效自评情况：优。</w:t>
      </w:r>
    </w:p>
    <w:p w14:paraId="5D17E402">
      <w:pPr>
        <w:spacing w:before="100" w:beforeLines="0" w:after="100" w:afterLines="0"/>
        <w:jc w:val="left"/>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三、部门绩效评价结果</w:t>
      </w:r>
    </w:p>
    <w:p w14:paraId="11C5AD12">
      <w:pPr>
        <w:tabs>
          <w:tab w:val="left" w:pos="10490"/>
        </w:tabs>
        <w:autoSpaceDE w:val="0"/>
        <w:autoSpaceDN w:val="0"/>
        <w:adjustRightInd w:val="0"/>
        <w:spacing w:line="6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本单位共组织对20</w:t>
      </w:r>
      <w:r>
        <w:rPr>
          <w:rFonts w:ascii="Times New Roman" w:hAnsi="Times New Roman" w:eastAsia="仿宋_GB2312"/>
          <w:sz w:val="32"/>
          <w:szCs w:val="32"/>
        </w:rPr>
        <w:t>22</w:t>
      </w:r>
      <w:r>
        <w:rPr>
          <w:rFonts w:hint="eastAsia" w:ascii="Times New Roman" w:hAnsi="Times New Roman" w:eastAsia="仿宋_GB2312"/>
          <w:sz w:val="32"/>
          <w:szCs w:val="32"/>
        </w:rPr>
        <w:t>年度涉及项目开展部门重点绩效评价，涉及资金</w:t>
      </w:r>
      <w:r>
        <w:rPr>
          <w:rFonts w:hint="eastAsia" w:ascii="仿宋_GB2312" w:hAnsi="宋体" w:eastAsia="仿宋_GB2312"/>
          <w:color w:val="000000" w:themeColor="text1"/>
          <w:kern w:val="0"/>
          <w:sz w:val="32"/>
          <w:szCs w:val="32"/>
          <w:lang w:val="en-US" w:eastAsia="zh-CN"/>
          <w14:textFill>
            <w14:solidFill>
              <w14:schemeClr w14:val="tx1"/>
            </w14:solidFill>
          </w14:textFill>
        </w:rPr>
        <w:t>510.13万</w:t>
      </w:r>
      <w:r>
        <w:rPr>
          <w:rFonts w:hint="eastAsia" w:ascii="仿宋_GB2312" w:hAnsi="宋体" w:eastAsia="仿宋_GB2312"/>
          <w:color w:val="000000" w:themeColor="text1"/>
          <w:kern w:val="0"/>
          <w:sz w:val="32"/>
          <w:szCs w:val="32"/>
          <w14:textFill>
            <w14:solidFill>
              <w14:schemeClr w14:val="tx1"/>
            </w14:solidFill>
          </w14:textFill>
        </w:rPr>
        <w:t>元</w:t>
      </w:r>
      <w:r>
        <w:rPr>
          <w:rFonts w:hint="eastAsia" w:ascii="Times New Roman" w:hAnsi="Times New Roman" w:eastAsia="仿宋_GB2312"/>
          <w:sz w:val="32"/>
          <w:szCs w:val="32"/>
        </w:rPr>
        <w:t>，项目绩效评价结果均为优。主要产出和效果：一是资金支付流程合法合规；二是及时对资金进行支付发放；三是保障了学校的正常运转。</w:t>
      </w:r>
    </w:p>
    <w:p w14:paraId="00CB68E5">
      <w:pPr>
        <w:spacing w:before="100" w:beforeLines="0" w:after="100" w:afterLines="0"/>
        <w:jc w:val="center"/>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第五部分</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lang w:val="zh-CN" w:eastAsia="zh-CN"/>
        </w:rPr>
        <w:t>名词解释</w:t>
      </w:r>
    </w:p>
    <w:p w14:paraId="2CC81C5B">
      <w:pPr>
        <w:spacing w:before="100" w:after="100"/>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rPr>
        <w:t>以下为常见专业名词解释目录,仅供参考,部门应根据实际情况进行解释和增减。比如可将类级功能科目和经济科目细化解释到项级。若有删减注意调整段落序号。</w:t>
      </w:r>
    </w:p>
    <w:p w14:paraId="3305A66B">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一、财政拨款收入</w:t>
      </w:r>
      <w:r>
        <w:rPr>
          <w:rFonts w:hint="eastAsia" w:ascii="仿宋" w:hAnsi="仿宋" w:eastAsia="仿宋" w:cs="仿宋"/>
          <w:color w:val="auto"/>
          <w:sz w:val="32"/>
          <w:szCs w:val="32"/>
          <w:lang w:val="zh-CN"/>
        </w:rPr>
        <w:t>：指本年度从同级财政部门取得的财政拨款,包括一般公共预算财政拨款、政府性基金预算财政拨款和国有资本经营预算财政拨款。</w:t>
      </w:r>
    </w:p>
    <w:p w14:paraId="6E04D0A6">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二、事业收入</w:t>
      </w:r>
      <w:r>
        <w:rPr>
          <w:rFonts w:hint="eastAsia" w:ascii="仿宋" w:hAnsi="仿宋" w:eastAsia="仿宋" w:cs="仿宋"/>
          <w:color w:val="auto"/>
          <w:sz w:val="32"/>
          <w:szCs w:val="32"/>
          <w:lang w:val="zh-CN"/>
        </w:rPr>
        <w:t>：指事业单位开展专业业务活动及其辅助活动取得的收入。</w:t>
      </w:r>
    </w:p>
    <w:p w14:paraId="048D7645">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三、经营收入</w:t>
      </w:r>
      <w:r>
        <w:rPr>
          <w:rFonts w:hint="eastAsia" w:ascii="仿宋" w:hAnsi="仿宋" w:eastAsia="仿宋" w:cs="仿宋"/>
          <w:color w:val="auto"/>
          <w:sz w:val="32"/>
          <w:szCs w:val="32"/>
          <w:lang w:val="zh-CN"/>
        </w:rPr>
        <w:t>：指事业单位在专业业务活动及其辅助活动之外开展非独立核算经营活动取得的收入。</w:t>
      </w:r>
    </w:p>
    <w:p w14:paraId="593002D0">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四、其他收入</w:t>
      </w:r>
      <w:r>
        <w:rPr>
          <w:rFonts w:hint="eastAsia" w:ascii="仿宋" w:hAnsi="仿宋" w:eastAsia="仿宋" w:cs="仿宋"/>
          <w:color w:val="auto"/>
          <w:sz w:val="32"/>
          <w:szCs w:val="32"/>
          <w:lang w:val="zh-CN"/>
        </w:rPr>
        <w:t>：指除上述“财政拨款收入”“事业收入”、“经营收入”以外的收入。</w:t>
      </w:r>
    </w:p>
    <w:p w14:paraId="39F6F478">
      <w:pPr>
        <w:spacing w:before="100" w:beforeLines="0" w:after="100" w:afterLines="0"/>
        <w:jc w:val="both"/>
        <w:rPr>
          <w:rFonts w:hint="eastAsia" w:ascii="仿宋" w:hAnsi="仿宋" w:eastAsia="仿宋" w:cs="仿宋"/>
          <w:b w:val="0"/>
          <w:bCs w:val="0"/>
          <w:color w:val="auto"/>
          <w:sz w:val="32"/>
          <w:szCs w:val="32"/>
          <w:lang w:val="zh-CN"/>
        </w:rPr>
      </w:pPr>
      <w:r>
        <w:rPr>
          <w:rFonts w:hint="eastAsia" w:ascii="仿宋" w:hAnsi="仿宋" w:eastAsia="仿宋" w:cs="仿宋"/>
          <w:b/>
          <w:bCs/>
          <w:color w:val="auto"/>
          <w:sz w:val="32"/>
          <w:szCs w:val="32"/>
          <w:lang w:val="zh-CN"/>
        </w:rPr>
        <w:t>五、使用非财政拨款结余（含专用结余）：</w:t>
      </w:r>
      <w:r>
        <w:rPr>
          <w:rFonts w:hint="eastAsia" w:ascii="仿宋" w:hAnsi="仿宋" w:eastAsia="仿宋" w:cs="仿宋"/>
          <w:b w:val="0"/>
          <w:bCs w:val="0"/>
          <w:color w:val="auto"/>
          <w:sz w:val="32"/>
          <w:szCs w:val="32"/>
          <w:lang w:val="zh-CN"/>
        </w:rPr>
        <w:t>指事业单位按照预算管理要求使用非财政拨款结余弥补收支差额的金额，以及使用专用结余安排支出的金额。</w:t>
      </w:r>
    </w:p>
    <w:p w14:paraId="1B10EF8D">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六、年初结转和结余</w:t>
      </w:r>
      <w:r>
        <w:rPr>
          <w:rFonts w:hint="eastAsia" w:ascii="仿宋" w:hAnsi="仿宋" w:eastAsia="仿宋" w:cs="仿宋"/>
          <w:color w:val="auto"/>
          <w:sz w:val="32"/>
          <w:szCs w:val="32"/>
          <w:lang w:val="zh-CN"/>
        </w:rPr>
        <w:t>：指单位上年结转至本年使用的基本支出结转、项目支出结转和结余、经营结余。</w:t>
      </w:r>
    </w:p>
    <w:p w14:paraId="2527666E">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七、结余分配</w:t>
      </w:r>
      <w:r>
        <w:rPr>
          <w:rFonts w:hint="eastAsia" w:ascii="仿宋" w:hAnsi="仿宋" w:eastAsia="仿宋" w:cs="仿宋"/>
          <w:color w:val="auto"/>
          <w:sz w:val="32"/>
          <w:szCs w:val="32"/>
          <w:lang w:val="zh-CN"/>
        </w:rPr>
        <w:t>：指单位按照会计制度规定缴纳的所得税、提取的专用结余以及转入非财政拨款结余的金额等。</w:t>
      </w:r>
    </w:p>
    <w:p w14:paraId="201F69DB">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八、年末结转和结余</w:t>
      </w:r>
      <w:r>
        <w:rPr>
          <w:rFonts w:hint="eastAsia" w:ascii="仿宋" w:hAnsi="仿宋" w:eastAsia="仿宋" w:cs="仿宋"/>
          <w:color w:val="auto"/>
          <w:sz w:val="32"/>
          <w:szCs w:val="32"/>
          <w:lang w:val="zh-CN"/>
        </w:rPr>
        <w:t>：指单位按有关规定结转到下年的基本支出结转、项目支出结转和结余、经营结余。</w:t>
      </w:r>
    </w:p>
    <w:p w14:paraId="7937BC9E">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九、基本支出</w:t>
      </w:r>
      <w:r>
        <w:rPr>
          <w:rFonts w:hint="eastAsia" w:ascii="仿宋" w:hAnsi="仿宋" w:eastAsia="仿宋" w:cs="仿宋"/>
          <w:color w:val="auto"/>
          <w:sz w:val="32"/>
          <w:szCs w:val="32"/>
          <w:lang w:val="zh-CN"/>
        </w:rPr>
        <w:t>：指为保障机构正常运转、完成日常工作任务而发生的人员经费和公用经费。</w:t>
      </w:r>
    </w:p>
    <w:p w14:paraId="027E6E38">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十、项目支出</w:t>
      </w:r>
      <w:r>
        <w:rPr>
          <w:rFonts w:hint="eastAsia" w:ascii="仿宋" w:hAnsi="仿宋" w:eastAsia="仿宋" w:cs="仿宋"/>
          <w:color w:val="auto"/>
          <w:sz w:val="32"/>
          <w:szCs w:val="32"/>
          <w:lang w:val="zh-CN"/>
        </w:rPr>
        <w:t>：指在基本支出之外为完成特定行政任务或事业发展目标所发生的支出。</w:t>
      </w:r>
    </w:p>
    <w:p w14:paraId="18FEEB41">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十一、经营支出</w:t>
      </w:r>
      <w:r>
        <w:rPr>
          <w:rFonts w:hint="eastAsia" w:ascii="仿宋" w:hAnsi="仿宋" w:eastAsia="仿宋" w:cs="仿宋"/>
          <w:color w:val="auto"/>
          <w:sz w:val="32"/>
          <w:szCs w:val="32"/>
          <w:lang w:val="zh-CN"/>
        </w:rPr>
        <w:t>：指事业单位在专业业务活动及其辅助活动之外开展非独立核算经营活动发生的支出。</w:t>
      </w:r>
    </w:p>
    <w:p w14:paraId="2449A486">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十二、“三公”经费</w:t>
      </w:r>
      <w:r>
        <w:rPr>
          <w:rFonts w:hint="eastAsia" w:ascii="仿宋" w:hAnsi="仿宋" w:eastAsia="仿宋" w:cs="仿宋"/>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617A113">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十三、机关运行经费</w:t>
      </w:r>
      <w:r>
        <w:rPr>
          <w:rFonts w:hint="eastAsia" w:ascii="仿宋" w:hAnsi="仿宋" w:eastAsia="仿宋" w:cs="仿宋"/>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C1B5D15">
      <w:pPr>
        <w:spacing w:before="100" w:beforeLines="0" w:after="100" w:afterLines="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十四、社会保障和就业支出（类）行政事业单位养老支出（款）机关事业单位基本养老保险缴费支出（项）：</w:t>
      </w:r>
      <w:r>
        <w:rPr>
          <w:rFonts w:hint="eastAsia" w:ascii="仿宋" w:hAnsi="仿宋" w:eastAsia="仿宋" w:cs="仿宋"/>
          <w:color w:val="auto"/>
          <w:sz w:val="32"/>
          <w:szCs w:val="32"/>
          <w:lang w:val="zh-CN"/>
        </w:rPr>
        <w:t>反映机关事业单位实施养老保险制度由单位缴纳的基本养老保险支出。</w:t>
      </w:r>
    </w:p>
    <w:p w14:paraId="09168D89">
      <w:pPr>
        <w:spacing w:before="100" w:beforeLines="0" w:after="100" w:afterLines="0"/>
        <w:jc w:val="both"/>
        <w:rPr>
          <w:rFonts w:hint="eastAsia" w:ascii="仿宋" w:hAnsi="仿宋" w:eastAsia="仿宋" w:cs="仿宋"/>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lOGYxMzExYmEyMWU2ZmExNzAyYjZlZjUyNDAyNDAifQ=="/>
  </w:docVars>
  <w:rsids>
    <w:rsidRoot w:val="00000000"/>
    <w:rsid w:val="0EB7759A"/>
    <w:rsid w:val="23EE50C5"/>
    <w:rsid w:val="414E546D"/>
    <w:rsid w:val="50A64D6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val="0"/>
      <w:spacing w:before="100" w:beforeAutospacing="1" w:after="100" w:afterAutospacing="1"/>
      <w:jc w:val="left"/>
    </w:pPr>
    <w:rPr>
      <w:rFonts w:ascii="Calibri" w:hAnsi="Calibri" w:cs="Times New Roman"/>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d7cb806f-9622-4c7a-a790-645f170d5e89}">
  <ds:schemaRefs/>
</ds:datastoreItem>
</file>

<file path=customXml/itemProps2.xml><?xml version="1.0" encoding="utf-8"?>
<ds:datastoreItem xmlns:ds="http://schemas.openxmlformats.org/officeDocument/2006/customXml" ds:itemID="{223f8320-4f9d-4f95-baca-bb1264a6bf4c}">
  <ds:schemaRefs/>
</ds:datastoreItem>
</file>

<file path=customXml/itemProps3.xml><?xml version="1.0" encoding="utf-8"?>
<ds:datastoreItem xmlns:ds="http://schemas.openxmlformats.org/officeDocument/2006/customXml" ds:itemID="{16d0951f-2591-4eab-b913-93102f036253}">
  <ds:schemaRefs/>
</ds:datastoreItem>
</file>

<file path=customXml/itemProps4.xml><?xml version="1.0" encoding="utf-8"?>
<ds:datastoreItem xmlns:ds="http://schemas.openxmlformats.org/officeDocument/2006/customXml" ds:itemID="{4e7e0f3e-0cb1-4bb9-be87-ab66218ff18e}">
  <ds:schemaRefs/>
</ds:datastoreItem>
</file>

<file path=customXml/itemProps5.xml><?xml version="1.0" encoding="utf-8"?>
<ds:datastoreItem xmlns:ds="http://schemas.openxmlformats.org/officeDocument/2006/customXml" ds:itemID="{0e4394ba-5895-452c-b01a-216d00acfe79}">
  <ds:schemaRefs/>
</ds:datastoreItem>
</file>

<file path=customXml/itemProps6.xml><?xml version="1.0" encoding="utf-8"?>
<ds:datastoreItem xmlns:ds="http://schemas.openxmlformats.org/officeDocument/2006/customXml" ds:itemID="{5c6842af-38b7-4a03-8070-59eeef7652e5}">
  <ds:schemaRefs/>
</ds:datastoreItem>
</file>

<file path=customXml/itemProps7.xml><?xml version="1.0" encoding="utf-8"?>
<ds:datastoreItem xmlns:ds="http://schemas.openxmlformats.org/officeDocument/2006/customXml" ds:itemID="{4b58054c-fa65-4668-8afb-5d8457d529ef}">
  <ds:schemaRefs/>
</ds:datastoreItem>
</file>

<file path=customXml/itemProps8.xml><?xml version="1.0" encoding="utf-8"?>
<ds:datastoreItem xmlns:ds="http://schemas.openxmlformats.org/officeDocument/2006/customXml" ds:itemID="{1b97cae7-5448-4374-afae-1b85d6c01781}">
  <ds:schemaRefs/>
</ds:datastoreItem>
</file>

<file path=customXml/itemProps9.xml><?xml version="1.0" encoding="utf-8"?>
<ds:datastoreItem xmlns:ds="http://schemas.openxmlformats.org/officeDocument/2006/customXml" ds:itemID="{49ac43b5-47cd-4db8-95d0-6fef8570a982}">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7289</Words>
  <Characters>8449</Characters>
  <Lines>0</Lines>
  <Paragraphs>0</Paragraphs>
  <TotalTime>1</TotalTime>
  <ScaleCrop>false</ScaleCrop>
  <LinksUpToDate>false</LinksUpToDate>
  <CharactersWithSpaces>8453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2024-09-19T05:57:20Z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7492013185B845CCA19DFC6ED114F2D4_13</vt:lpwstr>
  </property>
</Properties>
</file>