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4100"/>
        <w:spacing w:lineRule="exact" w:line="600"/>
        <w:rPr/>
      </w:pPr>
      <w:r>
        <w:rPr>
          <w:rFonts w:hint="eastAsia"/>
        </w:rPr>
        <w:t>华池县</w:t>
      </w:r>
      <w:r>
        <w:rPr>
          <w:rFonts w:hint="eastAsia"/>
        </w:rPr>
        <w:t>元</w:t>
      </w:r>
      <w:r>
        <w:rPr>
          <w:rFonts w:hint="eastAsia"/>
        </w:rPr>
        <w:t>城镇元</w:t>
      </w:r>
      <w:r>
        <w:rPr>
          <w:rFonts w:hint="eastAsia"/>
        </w:rPr>
        <w:t>城</w:t>
      </w:r>
      <w:r>
        <w:rPr>
          <w:rFonts w:hint="eastAsia"/>
        </w:rPr>
        <w:t>小学单位整体支出</w:t>
      </w:r>
    </w:p>
    <w:p>
      <w:pPr>
        <w:pStyle w:val="style4100"/>
        <w:spacing w:lineRule="exact" w:line="600"/>
        <w:rPr/>
      </w:pPr>
      <w:r>
        <w:rPr>
          <w:rFonts w:hint="eastAsia"/>
        </w:rPr>
        <w:t>绩效自评报告</w:t>
      </w:r>
    </w:p>
    <w:p>
      <w:pPr>
        <w:pStyle w:val="style4099"/>
        <w:spacing w:lineRule="exact" w:line="600"/>
        <w:rPr/>
      </w:pPr>
      <w:r>
        <w:t>（</w:t>
      </w:r>
      <w:r>
        <w:t>2023</w:t>
      </w:r>
      <w:r>
        <w:t>年度）</w:t>
      </w:r>
    </w:p>
    <w:p>
      <w:pPr>
        <w:pStyle w:val="style4101"/>
        <w:ind w:firstLine="632"/>
        <w:rPr/>
      </w:pPr>
      <w:r>
        <w:rPr>
          <w:rFonts w:hint="eastAsia"/>
        </w:rPr>
        <w:t>为进一步规范财政支出管理，牢固树立预算绩效理念，强化支出贵任，提高财政资金使用效益，我单位部门预算整体支出进行了绩效评价，现将情况汇报如下：</w:t>
      </w:r>
    </w:p>
    <w:p>
      <w:pPr>
        <w:pStyle w:val="style4104"/>
        <w:rPr/>
      </w:pPr>
      <w:r>
        <w:rPr>
          <w:rFonts w:hint="eastAsia"/>
        </w:rPr>
        <w:t>一、单位基本情况</w:t>
      </w:r>
    </w:p>
    <w:p>
      <w:pPr>
        <w:pStyle w:val="style4101"/>
        <w:ind w:firstLine="632"/>
        <w:rPr/>
      </w:pPr>
      <w:r>
        <w:rPr>
          <w:rFonts w:hint="eastAsia"/>
        </w:rPr>
        <w:t>华池县元城镇元城小学</w:t>
      </w:r>
      <w:r>
        <w:rPr>
          <w:rFonts w:hint="eastAsia"/>
        </w:rPr>
        <w:t>，</w:t>
      </w:r>
      <w:r>
        <w:rPr>
          <w:rFonts w:hint="eastAsia"/>
        </w:rPr>
        <w:t>股</w:t>
      </w:r>
      <w:r>
        <w:rPr>
          <w:rFonts w:hint="eastAsia"/>
        </w:rPr>
        <w:t>级事业单位，核定内设机构</w:t>
      </w:r>
      <w:r>
        <w:t>4</w:t>
      </w:r>
      <w:r>
        <w:t>个：教务处、政教处、总务处和办公室，截止</w:t>
      </w:r>
      <w:r>
        <w:t>2023</w:t>
      </w:r>
      <w:r>
        <w:t>年末我单位共有正式职工</w:t>
      </w:r>
      <w:r>
        <w:rPr>
          <w:rFonts w:hint="eastAsia"/>
        </w:rPr>
        <w:t>37</w:t>
      </w:r>
      <w:r>
        <w:t>人，其中高级教师</w:t>
      </w:r>
      <w:r>
        <w:rPr>
          <w:rFonts w:hint="eastAsia"/>
        </w:rPr>
        <w:t>2</w:t>
      </w:r>
      <w:r>
        <w:t>人，一级教师</w:t>
      </w:r>
      <w:r>
        <w:rPr>
          <w:rFonts w:hint="eastAsia"/>
        </w:rPr>
        <w:t>14</w:t>
      </w:r>
      <w:r>
        <w:t>人，二级教师</w:t>
      </w:r>
      <w:r>
        <w:rPr>
          <w:rFonts w:hint="eastAsia"/>
        </w:rPr>
        <w:t>15</w:t>
      </w:r>
      <w:r>
        <w:t>人，</w:t>
      </w:r>
      <w:r>
        <w:rPr>
          <w:rFonts w:hint="eastAsia"/>
        </w:rPr>
        <w:t>实习教师</w:t>
      </w:r>
      <w:r>
        <w:rPr>
          <w:rFonts w:hint="eastAsia"/>
        </w:rPr>
        <w:t>6</w:t>
      </w:r>
      <w:r>
        <w:rPr>
          <w:rFonts w:hint="eastAsia"/>
        </w:rPr>
        <w:t>人</w:t>
      </w:r>
      <w:r>
        <w:t>；离退休</w:t>
      </w:r>
      <w:r>
        <w:rPr>
          <w:rFonts w:hint="eastAsia"/>
        </w:rPr>
        <w:t>19</w:t>
      </w:r>
      <w:r>
        <w:t>人，遗属</w:t>
      </w:r>
      <w:r>
        <w:rPr>
          <w:rFonts w:hint="eastAsia"/>
        </w:rPr>
        <w:t>6</w:t>
      </w:r>
      <w:r>
        <w:t>人。</w:t>
      </w:r>
    </w:p>
    <w:p>
      <w:pPr>
        <w:pStyle w:val="style4104"/>
        <w:rPr/>
      </w:pPr>
      <w:r>
        <w:rPr>
          <w:rFonts w:hint="eastAsia"/>
        </w:rPr>
        <w:t>二、一般公共预</w:t>
      </w:r>
      <w:r>
        <w:rPr>
          <w:rFonts w:hint="eastAsia"/>
        </w:rPr>
        <w:t>算</w:t>
      </w:r>
      <w:r>
        <w:rPr>
          <w:rFonts w:hint="eastAsia"/>
        </w:rPr>
        <w:t>支出情况</w:t>
      </w:r>
    </w:p>
    <w:p>
      <w:pPr>
        <w:pStyle w:val="style4101"/>
        <w:ind w:firstLine="632"/>
        <w:rPr/>
      </w:pPr>
      <w:r>
        <w:t>2023</w:t>
      </w:r>
      <w:r>
        <w:t>年，我单位一般公共预算</w:t>
      </w:r>
      <w:r>
        <w:rPr>
          <w:rFonts w:hint="eastAsia"/>
        </w:rPr>
        <w:t>701.72</w:t>
      </w:r>
      <w:r>
        <w:t>万元，支出</w:t>
      </w:r>
      <w:r>
        <w:rPr>
          <w:rFonts w:hint="eastAsia"/>
        </w:rPr>
        <w:t>701.72</w:t>
      </w:r>
      <w:r>
        <w:t>万元，完成年初预算的</w:t>
      </w:r>
      <w:r>
        <w:t>100%</w:t>
      </w:r>
      <w:r>
        <w:t>。其中基本支出</w:t>
      </w:r>
      <w:r>
        <w:rPr>
          <w:rFonts w:hint="eastAsia"/>
        </w:rPr>
        <w:t>701.72</w:t>
      </w:r>
      <w:r>
        <w:t>万元，占总支出的</w:t>
      </w:r>
      <w:r>
        <w:t>100%</w:t>
      </w:r>
      <w:r>
        <w:t>。</w:t>
      </w:r>
    </w:p>
    <w:p>
      <w:pPr>
        <w:pStyle w:val="style4106"/>
        <w:spacing w:before="289"/>
        <w:rPr/>
      </w:pPr>
      <w:r>
        <w:rPr>
          <w:rFonts w:hint="eastAsia"/>
        </w:rPr>
        <w:t>（一）基本支出情况</w:t>
      </w:r>
    </w:p>
    <w:p>
      <w:pPr>
        <w:pStyle w:val="style4101"/>
        <w:ind w:firstLine="632"/>
        <w:rPr/>
      </w:pPr>
      <w:r>
        <w:rPr>
          <w:rFonts w:hint="eastAsia"/>
        </w:rPr>
        <w:t>本单位</w:t>
      </w:r>
      <w:r>
        <w:t>2023</w:t>
      </w:r>
      <w:r>
        <w:t>年度一般公共财政拨款基本支出</w:t>
      </w:r>
      <w:r>
        <w:t>701.72</w:t>
      </w:r>
      <w:r>
        <w:t>万元。其中：</w:t>
      </w:r>
      <w:r>
        <w:rPr>
          <w:rFonts w:hint="eastAsia"/>
        </w:rPr>
        <w:t>工资福利支出</w:t>
      </w:r>
      <w:r>
        <w:rPr>
          <w:rFonts w:hint="eastAsia"/>
        </w:rPr>
        <w:t>552.63</w:t>
      </w:r>
      <w:r>
        <w:t>万元，</w:t>
      </w:r>
      <w:r>
        <w:rPr>
          <w:rFonts w:hint="eastAsia"/>
        </w:rPr>
        <w:t>商品和服务支出</w:t>
      </w:r>
      <w:r>
        <w:rPr>
          <w:rFonts w:hint="eastAsia"/>
        </w:rPr>
        <w:t>84.26</w:t>
      </w:r>
      <w:r>
        <w:t>万元</w:t>
      </w:r>
      <w:r>
        <w:rPr>
          <w:rFonts w:hint="eastAsia"/>
        </w:rPr>
        <w:t>，对个人和家庭的补助</w:t>
      </w:r>
      <w:r>
        <w:rPr>
          <w:rFonts w:hint="eastAsia"/>
        </w:rPr>
        <w:t>63.93</w:t>
      </w:r>
      <w:r>
        <w:t>万元</w:t>
      </w:r>
      <w:r>
        <w:rPr>
          <w:rFonts w:hint="eastAsia"/>
        </w:rPr>
        <w:t>，其他资本性支出</w:t>
      </w:r>
      <w:r>
        <w:rPr>
          <w:rFonts w:hint="eastAsia"/>
        </w:rPr>
        <w:t>0.9</w:t>
      </w:r>
      <w:r>
        <w:t>万元</w:t>
      </w:r>
      <w:r>
        <w:rPr>
          <w:rFonts w:hint="eastAsia"/>
        </w:rPr>
        <w:t>。</w:t>
      </w:r>
    </w:p>
    <w:p>
      <w:pPr>
        <w:pStyle w:val="style4106"/>
        <w:spacing w:before="289"/>
        <w:rPr/>
      </w:pPr>
      <w:r>
        <w:rPr>
          <w:rFonts w:hint="eastAsia"/>
        </w:rPr>
        <w:t>（二）项目支出情况</w:t>
      </w:r>
    </w:p>
    <w:p>
      <w:pPr>
        <w:pStyle w:val="style4101"/>
        <w:ind w:firstLine="632"/>
        <w:rPr/>
      </w:pPr>
      <w:r>
        <w:rPr>
          <w:rFonts w:hint="eastAsia"/>
        </w:rPr>
        <w:t>本单位</w:t>
      </w:r>
      <w:r>
        <w:t>2023</w:t>
      </w:r>
      <w:r>
        <w:t>年度无项目资金收入，也没有使用项目资金安排的支出。</w:t>
      </w:r>
    </w:p>
    <w:p>
      <w:pPr>
        <w:pStyle w:val="style4106"/>
        <w:spacing w:before="289"/>
        <w:rPr/>
      </w:pPr>
      <w:r>
        <w:rPr>
          <w:rFonts w:hint="eastAsia"/>
        </w:rPr>
        <w:t>（三）</w:t>
      </w:r>
      <w:r>
        <w:rPr>
          <w:rFonts w:hint="eastAsia"/>
        </w:rPr>
        <w:t>“</w:t>
      </w:r>
      <w:r>
        <w:rPr>
          <w:rFonts w:hint="eastAsia"/>
        </w:rPr>
        <w:t>三公“经费情况</w:t>
      </w:r>
    </w:p>
    <w:p>
      <w:pPr>
        <w:pStyle w:val="style4101"/>
        <w:ind w:firstLine="632"/>
        <w:rPr/>
      </w:pPr>
      <w:r>
        <w:rPr>
          <w:rFonts w:hint="eastAsia"/>
        </w:rPr>
        <w:t>本单位</w:t>
      </w:r>
      <w:r>
        <w:t>2023</w:t>
      </w:r>
      <w:r>
        <w:t>年度无</w:t>
      </w:r>
      <w:r>
        <w:t>“</w:t>
      </w:r>
      <w:r>
        <w:t>三公</w:t>
      </w:r>
      <w:r>
        <w:t>“</w:t>
      </w:r>
      <w:r>
        <w:t>经费支出。三、政府性基金预算支出情况</w:t>
      </w:r>
    </w:p>
    <w:p>
      <w:pPr>
        <w:pStyle w:val="style4101"/>
        <w:ind w:firstLine="632"/>
        <w:rPr/>
      </w:pPr>
      <w:r>
        <w:rPr>
          <w:rFonts w:hint="eastAsia"/>
        </w:rPr>
        <w:t>本单位</w:t>
      </w:r>
      <w:r>
        <w:t>2023</w:t>
      </w:r>
      <w:r>
        <w:t>年度无政府性基金收入，也没有使用政府性基金安排的支出。</w:t>
      </w:r>
    </w:p>
    <w:p>
      <w:pPr>
        <w:pStyle w:val="style4104"/>
        <w:rPr/>
      </w:pPr>
      <w:r>
        <w:rPr>
          <w:rFonts w:hint="eastAsia"/>
        </w:rPr>
        <w:t>四、国有资本经营预算支出情况</w:t>
      </w:r>
    </w:p>
    <w:p>
      <w:pPr>
        <w:pStyle w:val="style4101"/>
        <w:ind w:firstLine="632"/>
        <w:rPr/>
      </w:pPr>
      <w:r>
        <w:rPr>
          <w:rFonts w:hint="eastAsia"/>
        </w:rPr>
        <w:t>本单位</w:t>
      </w:r>
      <w:r>
        <w:t>2023</w:t>
      </w:r>
      <w:r>
        <w:t>年度无国有资本经营收入，也没有使用国有资本经营安排的支出。</w:t>
      </w:r>
    </w:p>
    <w:p>
      <w:pPr>
        <w:pStyle w:val="style4104"/>
        <w:rPr/>
      </w:pPr>
      <w:r>
        <w:rPr>
          <w:rFonts w:hint="eastAsia"/>
        </w:rPr>
        <w:t>五、部门整体支出绩效清</w:t>
      </w:r>
      <w:r>
        <w:rPr>
          <w:rFonts w:hint="eastAsia"/>
        </w:rPr>
        <w:t>况</w:t>
      </w:r>
    </w:p>
    <w:p>
      <w:pPr>
        <w:pStyle w:val="style4106"/>
        <w:spacing w:before="289"/>
        <w:rPr/>
      </w:pPr>
      <w:r>
        <w:rPr>
          <w:rFonts w:hint="eastAsia"/>
        </w:rPr>
        <w:t>（一）部门绩效总目标</w:t>
      </w:r>
    </w:p>
    <w:p>
      <w:pPr>
        <w:pStyle w:val="style4101"/>
        <w:ind w:firstLine="632"/>
        <w:rPr/>
      </w:pPr>
      <w:r>
        <w:t>l</w:t>
      </w:r>
      <w:r>
        <w:t>、完成本单位年度人员工资发放、社保缴纳、公积金、补助津补贴发放，确保学校日常工作正常开展。</w:t>
      </w:r>
    </w:p>
    <w:p>
      <w:pPr>
        <w:pStyle w:val="style4101"/>
        <w:ind w:firstLine="632"/>
        <w:rPr/>
      </w:pPr>
      <w:r>
        <w:t>2</w:t>
      </w:r>
      <w:r>
        <w:t>、强化财务管理，合理安排支出，</w:t>
      </w:r>
      <w:r>
        <w:t>保阵学校</w:t>
      </w:r>
      <w:r>
        <w:t>各项工作正常开展。</w:t>
      </w:r>
    </w:p>
    <w:p>
      <w:pPr>
        <w:pStyle w:val="style4101"/>
        <w:ind w:firstLine="632"/>
        <w:rPr/>
      </w:pPr>
      <w:r>
        <w:t>3</w:t>
      </w:r>
      <w:r>
        <w:t>、加强学校建设、强化厉行节约，降低单位运行成本，提</w:t>
      </w:r>
    </w:p>
    <w:p>
      <w:pPr>
        <w:pStyle w:val="style4101"/>
        <w:ind w:firstLine="632"/>
        <w:rPr/>
      </w:pPr>
      <w:r>
        <w:rPr>
          <w:rFonts w:hint="eastAsia"/>
        </w:rPr>
        <w:t>高资金使用效益，落实</w:t>
      </w:r>
      <w:r>
        <w:rPr>
          <w:rFonts w:hint="eastAsia"/>
        </w:rPr>
        <w:t>“</w:t>
      </w:r>
      <w:r>
        <w:rPr>
          <w:rFonts w:hint="eastAsia"/>
        </w:rPr>
        <w:t>过紧日子“要求。</w:t>
      </w:r>
    </w:p>
    <w:p>
      <w:pPr>
        <w:pStyle w:val="style4106"/>
        <w:spacing w:before="289"/>
        <w:rPr/>
      </w:pPr>
      <w:r>
        <w:rPr>
          <w:rFonts w:hint="eastAsia"/>
        </w:rPr>
        <w:t>（二）部门整体支出情况</w:t>
      </w:r>
    </w:p>
    <w:p>
      <w:pPr>
        <w:pStyle w:val="style4101"/>
        <w:ind w:firstLine="632"/>
        <w:rPr>
          <w:rStyle w:val="style4109"/>
        </w:rPr>
      </w:pPr>
      <w:r>
        <w:rPr>
          <w:rFonts w:hint="eastAsia"/>
        </w:rPr>
        <w:t>本单位</w:t>
      </w:r>
      <w:r>
        <w:t>2023</w:t>
      </w:r>
      <w:r>
        <w:t>年度一般公共财政拨款基本支出</w:t>
      </w:r>
      <w:r>
        <w:t>701.72</w:t>
      </w:r>
      <w:r>
        <w:t>万元。其中：工资福利支出</w:t>
      </w:r>
      <w:r>
        <w:t>552.63</w:t>
      </w:r>
      <w:r>
        <w:t>万元，商品和服务支出</w:t>
      </w:r>
      <w:r>
        <w:t>84.26</w:t>
      </w:r>
      <w:r>
        <w:t>万元，</w:t>
      </w:r>
      <w:r>
        <w:t>对个人和家庭的补助</w:t>
      </w:r>
      <w:r>
        <w:t>63.93</w:t>
      </w:r>
      <w:r>
        <w:t>万元，其他资本性支出</w:t>
      </w:r>
      <w:r>
        <w:t>0.9</w:t>
      </w:r>
      <w:r>
        <w:t>万元。</w:t>
      </w:r>
      <w:r>
        <w:rPr>
          <w:rStyle w:val="style4109"/>
          <w:rFonts w:hint="eastAsia"/>
        </w:rPr>
        <w:t>（三）部门整体支出和项目支出管理</w:t>
      </w:r>
    </w:p>
    <w:p>
      <w:pPr>
        <w:pStyle w:val="style4101"/>
        <w:ind w:firstLine="632"/>
        <w:rPr/>
      </w:pPr>
      <w:r>
        <w:t>1</w:t>
      </w:r>
      <w:r>
        <w:rPr>
          <w:rFonts w:hint="eastAsia"/>
        </w:rPr>
        <w:t>、</w:t>
      </w:r>
      <w:r>
        <w:t>建立健全单位管理制度，强化财务制度约束。形成按制度办事、用制度规范行为的长效机制。进一步细化、完善办公费、差旅费、培训费、奖金、补贴等开支制度，并对财务公开与监督检查</w:t>
      </w:r>
      <w:r>
        <w:t>作出</w:t>
      </w:r>
      <w:r>
        <w:t>公开承诺，按照国家财经法律法规和单位各项规章制度开展工作。所有的经济事项在制度的框架内运行，使单位管理制度、财务管理、会计核算进一步规范。</w:t>
      </w:r>
    </w:p>
    <w:p>
      <w:pPr>
        <w:pStyle w:val="style4101"/>
        <w:ind w:firstLine="632"/>
        <w:rPr/>
      </w:pPr>
      <w:r>
        <w:t>2</w:t>
      </w:r>
      <w:r>
        <w:t>、严格预算支出管理。在支出预</w:t>
      </w:r>
      <w:r>
        <w:rPr>
          <w:rFonts w:hint="eastAsia"/>
        </w:rPr>
        <w:t>算编制</w:t>
      </w:r>
      <w:r>
        <w:rPr>
          <w:rFonts w:ascii="仿宋_GB2312" w:cs="仿宋_GB2312" w:hAnsi="仿宋_GB2312" w:hint="eastAsia"/>
        </w:rPr>
        <w:t>上，人员经费按照配置定额，逐人核定编制，公用经费分类分档，按定额编制；根据</w:t>
      </w:r>
      <w:r>
        <w:t>“</w:t>
      </w:r>
      <w:r>
        <w:t>总蜇控制、计划管理</w:t>
      </w:r>
      <w:r>
        <w:t>”</w:t>
      </w:r>
      <w:r>
        <w:t>的要求从严控制行政经费，压缩办公费开支，资产的</w:t>
      </w:r>
      <w:r>
        <w:t>配篮严格</w:t>
      </w:r>
      <w:r>
        <w:t>政府采购，按照预算科目和项目资金的规定使用财政资金，保障部门整体支出的规范化、制度化。</w:t>
      </w:r>
    </w:p>
    <w:p>
      <w:pPr>
        <w:pStyle w:val="style4101"/>
        <w:ind w:firstLine="632"/>
        <w:rPr/>
      </w:pPr>
      <w:r>
        <w:t>3.</w:t>
      </w:r>
      <w:r>
        <w:t>执行资金预算化管理，积极推进部门整体支出、项目支出绩效管理。财务部门负责组织、协调各部门预算绩效管理；各部门组织编制部门预</w:t>
      </w:r>
      <w:r>
        <w:rPr>
          <w:rFonts w:ascii="仿宋_GB2312" w:cs="仿宋_GB2312" w:hAnsi="仿宋_GB2312" w:hint="eastAsia"/>
        </w:rPr>
        <w:t>算和绩效目标，对项目绩效目标完成情况进行总结分析，撰写绩效报告送财务室；根据绩效评价结果改进预算绩效管理，通过资金预算编制、调整、执行、控制、绩效评价，增强财政资金投入、产出效能，提高财政资金使用效益。</w:t>
      </w:r>
    </w:p>
    <w:p>
      <w:pPr>
        <w:pStyle w:val="style4101"/>
        <w:ind w:firstLine="632"/>
        <w:rPr/>
      </w:pPr>
      <w:r>
        <w:t>4.</w:t>
      </w:r>
      <w:r>
        <w:t>成立了单位内部控制领导小组，由一把手直接领导，负</w:t>
      </w:r>
      <w:r>
        <w:rPr>
          <w:rFonts w:hint="eastAsia"/>
        </w:rPr>
        <w:t>责</w:t>
      </w:r>
      <w:r>
        <w:rPr>
          <w:rFonts w:hint="eastAsia"/>
        </w:rPr>
        <w:t>本单位内控制度的建设、落实，在对财务风险自查评估的基础上，发现薄弱环节，确立风险应对策略。</w:t>
      </w:r>
    </w:p>
    <w:p>
      <w:pPr>
        <w:pStyle w:val="style4106"/>
        <w:spacing w:before="289"/>
        <w:rPr/>
      </w:pPr>
      <w:r>
        <w:rPr>
          <w:rFonts w:hint="eastAsia"/>
        </w:rPr>
        <w:t>（四）资产管理情况</w:t>
      </w:r>
    </w:p>
    <w:p>
      <w:pPr>
        <w:pStyle w:val="style4101"/>
        <w:ind w:firstLine="632"/>
        <w:rPr/>
      </w:pPr>
      <w:r>
        <w:rPr>
          <w:rFonts w:hint="eastAsia"/>
        </w:rPr>
        <w:t>本校</w:t>
      </w:r>
      <w:r>
        <w:rPr>
          <w:rFonts w:hint="eastAsia"/>
        </w:rPr>
        <w:t>建立了资产管理制度，</w:t>
      </w:r>
      <w:r>
        <w:rPr>
          <w:rFonts w:hint="eastAsia"/>
        </w:rPr>
        <w:t>本单位</w:t>
      </w:r>
      <w:r>
        <w:rPr>
          <w:rFonts w:hint="eastAsia"/>
        </w:rPr>
        <w:t>所有公共财产，按实物进行登记造册，</w:t>
      </w:r>
      <w:r>
        <w:rPr>
          <w:rFonts w:hint="eastAsia"/>
        </w:rPr>
        <w:t>明确贵</w:t>
      </w:r>
      <w:r>
        <w:rPr>
          <w:rFonts w:hint="eastAsia"/>
        </w:rPr>
        <w:t>任人，每年由总务处人员核对一次。人事变动时应进行清理并办好移交手续。严禁侵占公物，损公肥私。因管理失职或任意所为造成公物遗失和损坏的要照价赔偿。闲置的资产，统一调节使用，发挥其效益，对不能用的资产，采取先处置后购置，保证了资产的安全高效。</w:t>
      </w:r>
    </w:p>
    <w:p>
      <w:pPr>
        <w:pStyle w:val="style4106"/>
        <w:spacing w:before="289"/>
        <w:rPr/>
      </w:pPr>
      <w:r>
        <w:rPr>
          <w:rFonts w:hint="eastAsia"/>
        </w:rPr>
        <w:t>（五）</w:t>
      </w:r>
      <w:r>
        <w:t>202</w:t>
      </w:r>
      <w:r>
        <w:rPr>
          <w:rFonts w:hint="eastAsia"/>
        </w:rPr>
        <w:t>3</w:t>
      </w:r>
      <w:r>
        <w:t>年部门绩效目标完成情况</w:t>
      </w:r>
    </w:p>
    <w:p>
      <w:pPr>
        <w:pStyle w:val="style4101"/>
        <w:ind w:firstLine="632"/>
        <w:rPr/>
      </w:pPr>
      <w:r>
        <w:rPr>
          <w:rFonts w:hint="eastAsia"/>
        </w:rPr>
        <w:t>根据预算绩效管理要求，本部门对</w:t>
      </w:r>
      <w:r>
        <w:t>2023</w:t>
      </w:r>
      <w:r>
        <w:t>年涉及资金701.72</w:t>
      </w:r>
      <w:r>
        <w:t>万元开展了绩效评价，自评结果为</w:t>
      </w:r>
      <w:r>
        <w:t>“</w:t>
      </w:r>
      <w:r>
        <w:t>优</w:t>
      </w:r>
      <w:r>
        <w:t>”</w:t>
      </w:r>
      <w:r>
        <w:t>。</w:t>
      </w:r>
    </w:p>
    <w:p>
      <w:pPr>
        <w:pStyle w:val="style4106"/>
        <w:spacing w:before="289"/>
        <w:rPr/>
      </w:pPr>
      <w:r>
        <w:rPr>
          <w:rFonts w:hint="eastAsia"/>
        </w:rPr>
        <w:t>（六）绩效评价结论</w:t>
      </w:r>
    </w:p>
    <w:p>
      <w:pPr>
        <w:pStyle w:val="style4101"/>
        <w:ind w:firstLine="632"/>
        <w:rPr/>
      </w:pPr>
      <w:r>
        <w:t>1</w:t>
      </w:r>
      <w:r>
        <w:t>、整体支出绩效评价结果</w:t>
      </w:r>
    </w:p>
    <w:p>
      <w:pPr>
        <w:pStyle w:val="style4101"/>
        <w:ind w:firstLine="632"/>
        <w:rPr/>
      </w:pPr>
      <w:r>
        <w:rPr>
          <w:rFonts w:hint="eastAsia"/>
        </w:rPr>
        <w:t>根据预算绩效管理要求，本部门对</w:t>
      </w:r>
      <w:r>
        <w:t>2023</w:t>
      </w:r>
      <w:r>
        <w:t>年涉及资金701.72</w:t>
      </w:r>
      <w:r>
        <w:t>万元开展了绩效评价，自评结果为</w:t>
      </w:r>
      <w:r>
        <w:t>“</w:t>
      </w:r>
      <w:r>
        <w:t>优</w:t>
      </w:r>
      <w:r>
        <w:t>”</w:t>
      </w:r>
      <w:r>
        <w:t>。</w:t>
      </w:r>
    </w:p>
    <w:p>
      <w:pPr>
        <w:pStyle w:val="style4101"/>
        <w:ind w:firstLine="632"/>
        <w:rPr/>
      </w:pPr>
      <w:r>
        <w:t>2</w:t>
      </w:r>
      <w:r>
        <w:t>、整体支出绩效评价计分情况（具体评分情况详见</w:t>
      </w:r>
      <w:r>
        <w:t>2023</w:t>
      </w:r>
    </w:p>
    <w:p>
      <w:pPr>
        <w:pStyle w:val="style4101"/>
        <w:ind w:firstLine="632"/>
        <w:rPr/>
      </w:pPr>
      <w:r>
        <w:rPr>
          <w:rFonts w:hint="eastAsia"/>
        </w:rPr>
        <w:t>年单位</w:t>
      </w:r>
      <w:r>
        <w:rPr>
          <w:rFonts w:hint="eastAsia"/>
        </w:rPr>
        <w:t>整体支出绩效自评表）。</w:t>
      </w:r>
    </w:p>
    <w:p>
      <w:pPr>
        <w:pStyle w:val="style4106"/>
        <w:spacing w:before="289"/>
        <w:rPr/>
      </w:pPr>
      <w:r>
        <w:rPr>
          <w:rFonts w:hint="eastAsia"/>
        </w:rPr>
        <w:t>七、存在的问题</w:t>
      </w:r>
    </w:p>
    <w:p>
      <w:pPr>
        <w:pStyle w:val="style4101"/>
        <w:ind w:firstLine="632"/>
        <w:rPr/>
      </w:pPr>
      <w:r>
        <w:t>l</w:t>
      </w:r>
      <w:r>
        <w:t>．预算绩效指标体系存在进一步完善的空间，我校</w:t>
      </w:r>
      <w:r>
        <w:t>现建立</w:t>
      </w:r>
      <w:r>
        <w:t>的各项预算绩效目标指标仍有不科学、不细致的地方，影响了预算绩效评价的结果。</w:t>
      </w:r>
    </w:p>
    <w:p>
      <w:pPr>
        <w:pStyle w:val="style4101"/>
        <w:ind w:firstLine="632"/>
        <w:rPr/>
      </w:pPr>
      <w:r>
        <w:t>2.</w:t>
      </w:r>
      <w:r>
        <w:t>预算绩效管理经验需要进一步积累。因为预算绩效管理工作具有政策性强、专业性强、涉及面广、操作难度大等特点，经验不足，导致工作多走许多弯路，影</w:t>
      </w:r>
      <w:r>
        <w:rPr>
          <w:rFonts w:hint="eastAsia"/>
        </w:rPr>
        <w:t>响工作效</w:t>
      </w:r>
      <w:r>
        <w:rPr>
          <w:rFonts w:ascii="仿宋_GB2312" w:cs="仿宋_GB2312" w:hAnsi="仿宋_GB2312" w:hint="eastAsia"/>
        </w:rPr>
        <w:t>果。</w:t>
      </w:r>
    </w:p>
    <w:p>
      <w:pPr>
        <w:pStyle w:val="style4104"/>
        <w:rPr/>
      </w:pPr>
      <w:r>
        <w:rPr>
          <w:rFonts w:hint="eastAsia"/>
        </w:rPr>
        <w:t>八、改进措施和有关建议</w:t>
      </w:r>
    </w:p>
    <w:p>
      <w:pPr>
        <w:pStyle w:val="style4101"/>
        <w:ind w:firstLine="632"/>
        <w:rPr>
          <w:rFonts w:ascii="仿宋_GB2312" w:cs="仿宋_GB2312" w:hAnsi="仿宋_GB2312"/>
        </w:rPr>
      </w:pPr>
      <w:r>
        <w:rPr>
          <w:rFonts w:hint="eastAsia"/>
        </w:rPr>
        <w:t>我校应立足实际，坚持推行精细化管理，强化预</w:t>
      </w:r>
      <w:r>
        <w:rPr>
          <w:rFonts w:ascii="仿宋_GB2312" w:cs="仿宋_GB2312" w:hAnsi="仿宋_GB2312" w:hint="eastAsia"/>
        </w:rPr>
        <w:t>算绩效目标管理、细化绩效目标，并将绩效目标细化分解为具体工作计划，同时，计划应明确规定在一定时间内完成的目标、任务和和应达到的要求，任务和要求应具体明确任务数量、质量。建立健全财政各项资金管理制度，严格执行财务管理制度，做到了财务处理及时，会计核算规范，严格按照计划进度支付。各项目资金严格实行专款专用，保证更规范严要求使用资金，做好绩效评价工作。</w:t>
      </w:r>
    </w:p>
    <w:p>
      <w:pPr>
        <w:pStyle w:val="style4110"/>
        <w:ind w:right="632"/>
        <w:rPr/>
      </w:pPr>
      <w:r>
        <w:rPr>
          <w:rFonts w:hint="eastAsia"/>
        </w:rPr>
        <w:t>华池县元</w:t>
      </w:r>
      <w:r>
        <w:rPr>
          <w:rFonts w:hint="eastAsia"/>
        </w:rPr>
        <w:t>城镇元</w:t>
      </w:r>
      <w:r>
        <w:rPr>
          <w:rFonts w:hint="eastAsia"/>
        </w:rPr>
        <w:t>城小学</w:t>
      </w:r>
    </w:p>
    <w:p>
      <w:pPr>
        <w:pStyle w:val="style4110"/>
        <w:ind w:right="1045" w:rightChars="331"/>
        <w:rPr/>
      </w:pPr>
      <w:r>
        <w:rPr>
          <w:rFonts w:hint="eastAsia"/>
        </w:rPr>
        <w:t>2024</w:t>
      </w:r>
      <w:r>
        <w:rPr>
          <w:rFonts w:hint="eastAsia"/>
          <w:lang w:eastAsia="zh-CN"/>
        </w:rPr>
        <w:t>年</w:t>
      </w:r>
      <w:r>
        <w:rPr>
          <w:rFonts w:hint="default"/>
          <w:lang w:val="en-US" w:eastAsia="zh-CN"/>
        </w:rPr>
        <w:t>9</w:t>
      </w:r>
      <w:r>
        <w:rPr>
          <w:rFonts w:hint="eastAsia"/>
        </w:rPr>
        <w:t>月</w:t>
      </w:r>
      <w:r>
        <w:rPr>
          <w:rFonts w:hint="default"/>
          <w:lang w:val="en-US"/>
        </w:rPr>
        <w:t>18</w:t>
      </w:r>
      <w:r>
        <w:rPr>
          <w:rFonts w:hint="eastAsia"/>
        </w:rPr>
        <w:t>日</w:t>
      </w:r>
    </w:p>
    <w:sectPr>
      <w:pgSz w:w="11906" w:h="16838" w:orient="portrait" w:code="9"/>
      <w:pgMar w:top="2098" w:right="1474" w:bottom="1985" w:left="1588" w:header="851" w:footer="992" w:gutter="0"/>
      <w:cols w:space="425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_GB2312"/>
    <w:panose1 w:val="020106090300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楷体">
    <w:altName w:val="楷体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小标宋简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_GB2312"/>
    <w:panose1 w:val="020106090300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48"/>
  <w:bordersDoNotSurroundHeader/>
  <w:bordersDoNotSurroundFooter/>
  <w:proofState w:spelling="clean" w:grammar="clean"/>
  <w:attachedTemplate r:id="rId1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等线" w:cs="宋体" w:eastAsia="等线" w:hAnsi="等线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pPr>
      <w:widowControl w:val="false"/>
      <w:ind w:firstLine="200" w:firstLineChars="200"/>
    </w:pPr>
    <w:rPr>
      <w:rFonts w:eastAsia="仿宋_GB2312"/>
      <w:sz w:val="32"/>
    </w:rPr>
  </w:style>
  <w:style w:type="paragraph" w:styleId="style1">
    <w:name w:val="heading 1"/>
    <w:basedOn w:val="style0"/>
    <w:next w:val="style0"/>
    <w:link w:val="style4097"/>
    <w:uiPriority w:val="9"/>
    <w:pPr>
      <w:keepNext/>
      <w:keepLines/>
      <w:spacing w:before="340" w:after="330" w:lineRule="auto" w:line="578"/>
      <w:outlineLvl w:val="0"/>
    </w:pPr>
    <w:rPr>
      <w:b/>
      <w:bCs/>
      <w:kern w:val="44"/>
      <w:sz w:val="44"/>
      <w:szCs w:val="44"/>
    </w:rPr>
  </w:style>
  <w:style w:type="paragraph" w:styleId="style2">
    <w:name w:val="heading 2"/>
    <w:basedOn w:val="style0"/>
    <w:next w:val="style0"/>
    <w:link w:val="style4098"/>
    <w:uiPriority w:val="9"/>
    <w:pPr>
      <w:keepNext/>
      <w:keepLines/>
      <w:spacing w:before="260" w:after="260" w:lineRule="auto" w:line="416"/>
      <w:outlineLvl w:val="1"/>
    </w:pPr>
    <w:rPr>
      <w:rFonts w:ascii="等线 Light" w:cs="宋体" w:eastAsia="等线 Light" w:hAnsi="等线 Light"/>
      <w:b/>
      <w:bCs/>
      <w:szCs w:val="32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character" w:customStyle="1" w:styleId="style4097">
    <w:name w:val="标题 1 字符"/>
    <w:basedOn w:val="style65"/>
    <w:next w:val="style4097"/>
    <w:link w:val="style1"/>
    <w:uiPriority w:val="9"/>
    <w:rPr>
      <w:b/>
      <w:bCs/>
      <w:kern w:val="44"/>
      <w:sz w:val="44"/>
      <w:szCs w:val="44"/>
    </w:rPr>
  </w:style>
  <w:style w:type="character" w:customStyle="1" w:styleId="style4098">
    <w:name w:val="标题 2 字符"/>
    <w:basedOn w:val="style65"/>
    <w:next w:val="style4098"/>
    <w:link w:val="style2"/>
    <w:uiPriority w:val="9"/>
    <w:rPr>
      <w:rFonts w:ascii="等线 Light" w:cs="宋体" w:eastAsia="等线 Light" w:hAnsi="等线 Light"/>
      <w:b/>
      <w:bCs/>
      <w:sz w:val="32"/>
      <w:szCs w:val="32"/>
    </w:rPr>
  </w:style>
  <w:style w:type="paragraph" w:customStyle="1" w:styleId="style4099">
    <w:name w:val="元中副标题"/>
    <w:next w:val="style0"/>
    <w:link w:val="style4103"/>
    <w:qFormat/>
    <w:pPr>
      <w:jc w:val="center"/>
    </w:pPr>
    <w:rPr>
      <w:rFonts w:ascii="Times New Roman" w:eastAsia="楷体" w:hAnsi="Times New Roman"/>
      <w:sz w:val="32"/>
    </w:rPr>
  </w:style>
  <w:style w:type="paragraph" w:customStyle="1" w:styleId="style4100">
    <w:name w:val="元中标题"/>
    <w:next w:val="style0"/>
    <w:link w:val="style4102"/>
    <w:qFormat/>
    <w:pPr>
      <w:jc w:val="center"/>
    </w:pPr>
    <w:rPr>
      <w:rFonts w:ascii="Times New Roman" w:eastAsia="方正小标宋简体" w:hAnsi="Times New Roman"/>
      <w:sz w:val="44"/>
    </w:rPr>
  </w:style>
  <w:style w:type="paragraph" w:customStyle="1" w:styleId="style4101">
    <w:name w:val="元中正文"/>
    <w:next w:val="style4101"/>
    <w:link w:val="style4105"/>
    <w:qFormat/>
    <w:pPr>
      <w:snapToGrid w:val="false"/>
      <w:spacing w:lineRule="exact" w:line="560"/>
      <w:ind w:firstLine="200" w:firstLineChars="200"/>
    </w:pPr>
    <w:rPr>
      <w:rFonts w:ascii="Times New Roman" w:eastAsia="仿宋_GB2312" w:hAnsi="Times New Roman"/>
      <w:sz w:val="32"/>
    </w:rPr>
  </w:style>
  <w:style w:type="character" w:customStyle="1" w:styleId="style4102">
    <w:name w:val="元中标题 字符"/>
    <w:basedOn w:val="style65"/>
    <w:next w:val="style4102"/>
    <w:link w:val="style4100"/>
    <w:rPr>
      <w:rFonts w:ascii="Times New Roman" w:eastAsia="方正小标宋简体" w:hAnsi="Times New Roman"/>
      <w:sz w:val="44"/>
    </w:rPr>
  </w:style>
  <w:style w:type="character" w:customStyle="1" w:styleId="style4103">
    <w:name w:val="元中副标题 字符"/>
    <w:basedOn w:val="style65"/>
    <w:next w:val="style4103"/>
    <w:link w:val="style4099"/>
    <w:rPr>
      <w:rFonts w:ascii="Times New Roman" w:eastAsia="楷体" w:hAnsi="Times New Roman"/>
      <w:sz w:val="32"/>
    </w:rPr>
  </w:style>
  <w:style w:type="paragraph" w:customStyle="1" w:styleId="style4104">
    <w:name w:val="元中一级标题"/>
    <w:next w:val="style0"/>
    <w:link w:val="style4107"/>
    <w:qFormat/>
    <w:pPr/>
    <w:rPr>
      <w:rFonts w:ascii="Times New Roman" w:eastAsia="黑体" w:hAnsi="Times New Roman"/>
      <w:sz w:val="32"/>
    </w:rPr>
  </w:style>
  <w:style w:type="character" w:customStyle="1" w:styleId="style4105">
    <w:name w:val="元中正文 字符"/>
    <w:basedOn w:val="style65"/>
    <w:next w:val="style4105"/>
    <w:link w:val="style4101"/>
    <w:rPr>
      <w:rFonts w:ascii="Times New Roman" w:eastAsia="仿宋_GB2312" w:hAnsi="Times New Roman"/>
      <w:sz w:val="32"/>
    </w:rPr>
  </w:style>
  <w:style w:type="paragraph" w:customStyle="1" w:styleId="style4106">
    <w:name w:val="元中二级标题"/>
    <w:basedOn w:val="style4104"/>
    <w:next w:val="style4106"/>
    <w:link w:val="style4109"/>
    <w:qFormat/>
    <w:pPr>
      <w:spacing w:before="50" w:beforeLines="50"/>
    </w:pPr>
    <w:rPr>
      <w:rFonts w:eastAsia="楷体_GB2312"/>
      <w:b/>
    </w:rPr>
  </w:style>
  <w:style w:type="character" w:customStyle="1" w:styleId="style4107">
    <w:name w:val="元中一级标题 字符"/>
    <w:basedOn w:val="style65"/>
    <w:next w:val="style4107"/>
    <w:link w:val="style4104"/>
    <w:rPr>
      <w:rFonts w:ascii="Times New Roman" w:eastAsia="黑体" w:hAnsi="Times New Roman"/>
      <w:sz w:val="32"/>
    </w:rPr>
  </w:style>
  <w:style w:type="paragraph" w:customStyle="1" w:styleId="style4108">
    <w:name w:val="元中三级标题"/>
    <w:next w:val="style0"/>
    <w:link w:val="style4111"/>
    <w:qFormat/>
    <w:pPr>
      <w:spacing w:before="50" w:beforeLines="50"/>
    </w:pPr>
    <w:rPr>
      <w:rFonts w:ascii="Times New Roman" w:eastAsia="仿宋_GB2312" w:hAnsi="Times New Roman"/>
      <w:b/>
      <w:sz w:val="32"/>
    </w:rPr>
  </w:style>
  <w:style w:type="character" w:customStyle="1" w:styleId="style4109">
    <w:name w:val="元中二级标题 字符"/>
    <w:basedOn w:val="style4107"/>
    <w:next w:val="style4109"/>
    <w:link w:val="style4106"/>
    <w:rPr>
      <w:rFonts w:ascii="Times New Roman" w:eastAsia="楷体_GB2312" w:hAnsi="Times New Roman"/>
      <w:b/>
      <w:sz w:val="32"/>
    </w:rPr>
  </w:style>
  <w:style w:type="paragraph" w:customStyle="1" w:styleId="style4110">
    <w:name w:val="元中日期"/>
    <w:basedOn w:val="style4101"/>
    <w:next w:val="style4110"/>
    <w:link w:val="style4112"/>
    <w:qFormat/>
    <w:pPr>
      <w:ind w:right="200" w:rightChars="200" w:firstLine="0" w:firstLineChars="0"/>
      <w:jc w:val="right"/>
    </w:pPr>
    <w:rPr/>
  </w:style>
  <w:style w:type="character" w:customStyle="1" w:styleId="style4111">
    <w:name w:val="元中三级标题 字符"/>
    <w:basedOn w:val="style65"/>
    <w:next w:val="style4111"/>
    <w:link w:val="style4108"/>
    <w:rPr>
      <w:rFonts w:ascii="Times New Roman" w:eastAsia="仿宋_GB2312" w:hAnsi="Times New Roman"/>
      <w:b/>
      <w:sz w:val="32"/>
    </w:rPr>
  </w:style>
  <w:style w:type="character" w:customStyle="1" w:styleId="style4112">
    <w:name w:val="元中日期 字符"/>
    <w:basedOn w:val="style4105"/>
    <w:next w:val="style4112"/>
    <w:link w:val="style4110"/>
    <w:rPr>
      <w:rFonts w:ascii="Times New Roman" w:eastAsia="仿宋_GB2312" w:hAnsi="Times New Roman"/>
      <w:sz w:val="32"/>
    </w:rPr>
  </w:style>
  <w:style w:type="paragraph" w:styleId="style74">
    <w:name w:val="Subtitle"/>
    <w:basedOn w:val="style0"/>
    <w:next w:val="style0"/>
    <w:link w:val="style4113"/>
    <w:qFormat/>
    <w:uiPriority w:val="11"/>
    <w:pPr>
      <w:spacing w:before="240" w:after="60" w:lineRule="auto" w:line="312"/>
      <w:jc w:val="center"/>
      <w:outlineLvl w:val="1"/>
    </w:pPr>
    <w:rPr>
      <w:rFonts w:eastAsia="等线"/>
      <w:b/>
      <w:bCs/>
      <w:kern w:val="28"/>
      <w:szCs w:val="32"/>
    </w:rPr>
  </w:style>
  <w:style w:type="character" w:customStyle="1" w:styleId="style4113">
    <w:name w:val="副标题 字符"/>
    <w:basedOn w:val="style65"/>
    <w:next w:val="style4113"/>
    <w:link w:val="style74"/>
    <w:uiPriority w:val="11"/>
    <w:rPr>
      <w:b/>
      <w:bCs/>
      <w:kern w:val="28"/>
      <w:sz w:val="32"/>
      <w:szCs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_rels/settings.xml.rels><?xml version="1.0" encoding="UTF-8"?>
<Relationships xmlns="http://schemas.openxmlformats.org/package/2006/relationships"><Relationship Id="rId1" Type="http://schemas.openxmlformats.org/officeDocument/2006/relationships/attachedTemplate" TargetMode="External" Target="file:/E:/&#32593;&#30424;&#21516;&#27493;&#65288;863679746&#65289;/BaiduSyncdisk/1&#12289;&#20250;&#35745;&#25991;&#20214;/&#20250;&#35745;&#20854;&#20182;&#36164;&#26009;/&#20803;&#22478;&#21021;&#20013;&#25991;&#20214;&#26684;&#24335;&#27169;&#26495;&#65288;2020.7.6.7&#65289;.dot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元城初中文件格式模板（2020.7.6.7）</Template>
  <TotalTime>22</TotalTime>
  <Words>1953</Words>
  <Pages>5</Pages>
  <Characters>2074</Characters>
  <Application>WPS Office</Application>
  <DocSecurity>0</DocSecurity>
  <Paragraphs>45</Paragraphs>
  <ScaleCrop>false</ScaleCrop>
  <LinksUpToDate>false</LinksUpToDate>
  <CharactersWithSpaces>2074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2024-05-09T09:07:00Z</dcterms:created>
  <dc:creator>LYF</dc:creator>
  <lastModifiedBy>23127PN0CC</lastModifiedBy>
  <dcterms:modified xsi:type="dcterms:W3CDTF">2024-09-19T04:56:34Z</dcterms:modified>
  <revision>6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aa28bc1e4cb147ce97a31780906d7f67_22</vt:lpwstr>
  </property>
</Properties>
</file>