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C9DFF">
      <w:pPr>
        <w:spacing w:before="100" w:beforeLines="0" w:after="100" w:afterLines="0"/>
        <w:jc w:val="center"/>
        <w:rPr>
          <w:rFonts w:hint="eastAsia" w:ascii="宋体" w:hAnsi="宋体"/>
          <w:sz w:val="24"/>
          <w:szCs w:val="24"/>
          <w:lang w:val="zh-CN"/>
        </w:rPr>
      </w:pPr>
    </w:p>
    <w:p w14:paraId="47872B06">
      <w:pPr>
        <w:spacing w:before="100" w:beforeLines="0" w:after="100" w:afterLines="0"/>
        <w:jc w:val="center"/>
        <w:rPr>
          <w:rFonts w:hint="eastAsia" w:ascii="宋体" w:hAnsi="宋体"/>
          <w:sz w:val="24"/>
          <w:szCs w:val="24"/>
          <w:lang w:val="zh-CN"/>
        </w:rPr>
      </w:pPr>
    </w:p>
    <w:p w14:paraId="6D79B394">
      <w:pPr>
        <w:spacing w:before="100" w:beforeLines="0" w:after="100" w:afterLines="0"/>
        <w:jc w:val="center"/>
        <w:rPr>
          <w:rFonts w:hint="eastAsia" w:ascii="宋体" w:hAnsi="宋体"/>
          <w:sz w:val="24"/>
          <w:szCs w:val="24"/>
          <w:lang w:val="zh-CN"/>
        </w:rPr>
      </w:pPr>
    </w:p>
    <w:p w14:paraId="20AE8BB4">
      <w:pPr>
        <w:spacing w:before="100" w:beforeLines="0" w:after="100" w:afterLines="0"/>
        <w:jc w:val="center"/>
        <w:rPr>
          <w:rFonts w:hint="eastAsia" w:ascii="宋体" w:hAnsi="宋体"/>
          <w:sz w:val="24"/>
          <w:szCs w:val="24"/>
          <w:lang w:val="zh-CN"/>
        </w:rPr>
      </w:pPr>
    </w:p>
    <w:p w14:paraId="462B55CF">
      <w:pPr>
        <w:spacing w:before="100" w:beforeLines="0" w:after="100" w:afterLines="0"/>
        <w:jc w:val="center"/>
        <w:rPr>
          <w:rFonts w:hint="eastAsia" w:ascii="宋体" w:hAnsi="宋体"/>
          <w:sz w:val="24"/>
          <w:szCs w:val="24"/>
          <w:lang w:val="zh-CN"/>
        </w:rPr>
      </w:pPr>
    </w:p>
    <w:p w14:paraId="20EA9E99">
      <w:pPr>
        <w:spacing w:before="100" w:beforeLines="0" w:after="100" w:afterLines="0"/>
        <w:jc w:val="center"/>
        <w:rPr>
          <w:rFonts w:hint="eastAsia" w:ascii="宋体" w:hAnsi="宋体"/>
          <w:sz w:val="24"/>
          <w:szCs w:val="24"/>
          <w:lang w:val="zh-CN"/>
        </w:rPr>
      </w:pPr>
    </w:p>
    <w:p w14:paraId="636370B2">
      <w:pPr>
        <w:spacing w:before="100" w:beforeLines="0" w:after="100" w:afterLines="0"/>
        <w:jc w:val="center"/>
        <w:rPr>
          <w:rFonts w:hint="eastAsia" w:ascii="宋体" w:hAnsi="宋体"/>
          <w:sz w:val="24"/>
          <w:szCs w:val="24"/>
          <w:lang w:val="zh-CN"/>
        </w:rPr>
      </w:pPr>
    </w:p>
    <w:p w14:paraId="2199EFF4">
      <w:pPr>
        <w:spacing w:before="100" w:beforeLines="0" w:after="100" w:afterLines="0"/>
        <w:jc w:val="center"/>
        <w:rPr>
          <w:rFonts w:hint="eastAsia" w:ascii="宋体" w:hAnsi="宋体"/>
          <w:sz w:val="24"/>
          <w:szCs w:val="24"/>
          <w:lang w:val="zh-CN"/>
        </w:rPr>
      </w:pPr>
    </w:p>
    <w:p w14:paraId="2EC46776">
      <w:pPr>
        <w:spacing w:before="100" w:beforeLines="0" w:after="100" w:afterLines="0"/>
        <w:jc w:val="center"/>
        <w:rPr>
          <w:rFonts w:hint="eastAsia" w:ascii="宋体" w:hAnsi="宋体"/>
          <w:sz w:val="24"/>
          <w:szCs w:val="24"/>
          <w:lang w:val="zh-CN"/>
        </w:rPr>
      </w:pPr>
    </w:p>
    <w:p w14:paraId="7E8CBD45">
      <w:pPr>
        <w:spacing w:before="100" w:beforeLines="0" w:after="100" w:afterLines="0"/>
        <w:jc w:val="center"/>
        <w:rPr>
          <w:rFonts w:hint="eastAsia" w:ascii="宋体" w:hAnsi="宋体"/>
          <w:sz w:val="24"/>
          <w:szCs w:val="24"/>
          <w:lang w:val="zh-CN"/>
        </w:rPr>
      </w:pPr>
    </w:p>
    <w:p w14:paraId="3E46C103">
      <w:pPr>
        <w:spacing w:before="100" w:beforeLines="0" w:after="100" w:afterLines="0"/>
        <w:jc w:val="center"/>
        <w:rPr>
          <w:rFonts w:hint="eastAsia" w:ascii="宋体" w:hAnsi="宋体"/>
          <w:sz w:val="24"/>
          <w:szCs w:val="24"/>
          <w:lang w:val="zh-CN"/>
        </w:rPr>
      </w:pPr>
    </w:p>
    <w:p w14:paraId="47649D37">
      <w:pPr>
        <w:spacing w:before="100" w:beforeLines="0" w:after="100" w:afterLines="0"/>
        <w:jc w:val="center"/>
        <w:rPr>
          <w:rFonts w:hint="eastAsia" w:ascii="宋体" w:hAnsi="宋体"/>
          <w:sz w:val="24"/>
          <w:szCs w:val="24"/>
          <w:lang w:val="zh-CN"/>
        </w:rPr>
      </w:pPr>
    </w:p>
    <w:p w14:paraId="6B36533F">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0F98371B">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华池县元城镇元城小学部门决算</w:t>
      </w:r>
    </w:p>
    <w:p w14:paraId="06FE382D">
      <w:pPr>
        <w:spacing w:before="100" w:beforeLines="0" w:after="100" w:afterLines="0"/>
        <w:jc w:val="center"/>
        <w:rPr>
          <w:rFonts w:hint="eastAsia" w:ascii="宋体" w:hAnsi="宋体"/>
          <w:sz w:val="24"/>
          <w:szCs w:val="24"/>
          <w:lang w:val="zh-CN"/>
        </w:rPr>
      </w:pPr>
    </w:p>
    <w:p w14:paraId="758657B4">
      <w:pPr>
        <w:spacing w:before="100" w:beforeLines="0" w:after="100" w:afterLines="0"/>
        <w:jc w:val="center"/>
        <w:rPr>
          <w:rFonts w:hint="eastAsia" w:ascii="宋体" w:hAnsi="宋体"/>
          <w:sz w:val="24"/>
          <w:szCs w:val="24"/>
          <w:lang w:val="zh-CN"/>
        </w:rPr>
      </w:pPr>
    </w:p>
    <w:p w14:paraId="3E482233">
      <w:pPr>
        <w:spacing w:before="100" w:beforeLines="0" w:after="100" w:afterLines="0"/>
        <w:jc w:val="center"/>
        <w:rPr>
          <w:rFonts w:hint="eastAsia" w:ascii="宋体" w:hAnsi="宋体"/>
          <w:sz w:val="24"/>
          <w:szCs w:val="24"/>
          <w:lang w:val="zh-CN"/>
        </w:rPr>
      </w:pPr>
    </w:p>
    <w:p w14:paraId="7171FDB7">
      <w:pPr>
        <w:spacing w:before="100" w:beforeLines="0" w:after="100" w:afterLines="0"/>
        <w:jc w:val="center"/>
        <w:rPr>
          <w:rFonts w:hint="eastAsia" w:ascii="宋体" w:hAnsi="宋体"/>
          <w:sz w:val="24"/>
          <w:szCs w:val="24"/>
          <w:lang w:val="zh-CN"/>
        </w:rPr>
      </w:pPr>
    </w:p>
    <w:p w14:paraId="29B6FD4A">
      <w:pPr>
        <w:spacing w:before="100" w:beforeLines="0" w:after="100" w:afterLines="0"/>
        <w:jc w:val="center"/>
        <w:rPr>
          <w:rFonts w:hint="eastAsia" w:ascii="宋体" w:hAnsi="宋体"/>
          <w:sz w:val="24"/>
          <w:szCs w:val="24"/>
          <w:lang w:val="zh-CN"/>
        </w:rPr>
      </w:pPr>
    </w:p>
    <w:p w14:paraId="4C0D5449">
      <w:pPr>
        <w:spacing w:before="100" w:beforeLines="0" w:after="100" w:afterLines="0"/>
        <w:jc w:val="center"/>
        <w:rPr>
          <w:rFonts w:hint="eastAsia" w:ascii="宋体" w:hAnsi="宋体"/>
          <w:sz w:val="24"/>
          <w:szCs w:val="24"/>
          <w:lang w:val="zh-CN"/>
        </w:rPr>
      </w:pPr>
    </w:p>
    <w:p w14:paraId="196393D0">
      <w:pPr>
        <w:spacing w:before="100" w:beforeLines="0" w:after="100" w:afterLines="0"/>
        <w:jc w:val="center"/>
        <w:rPr>
          <w:rFonts w:hint="eastAsia" w:ascii="宋体" w:hAnsi="宋体"/>
          <w:sz w:val="24"/>
          <w:szCs w:val="24"/>
          <w:lang w:val="zh-CN"/>
        </w:rPr>
      </w:pPr>
    </w:p>
    <w:p w14:paraId="22B3F617">
      <w:pPr>
        <w:spacing w:before="100" w:beforeLines="0" w:after="100" w:afterLines="0"/>
        <w:jc w:val="center"/>
        <w:rPr>
          <w:rFonts w:hint="eastAsia" w:ascii="宋体" w:hAnsi="宋体"/>
          <w:sz w:val="24"/>
          <w:szCs w:val="24"/>
          <w:lang w:val="zh-CN"/>
        </w:rPr>
      </w:pPr>
    </w:p>
    <w:p w14:paraId="15A299C0">
      <w:pPr>
        <w:spacing w:before="100" w:beforeLines="0" w:after="100" w:afterLines="0"/>
        <w:jc w:val="center"/>
        <w:rPr>
          <w:rFonts w:hint="eastAsia" w:ascii="宋体" w:hAnsi="宋体"/>
          <w:sz w:val="24"/>
          <w:szCs w:val="24"/>
          <w:lang w:val="zh-CN"/>
        </w:rPr>
      </w:pPr>
    </w:p>
    <w:p w14:paraId="7C07DC94">
      <w:pPr>
        <w:spacing w:before="100" w:beforeLines="0" w:after="100" w:afterLines="0"/>
        <w:jc w:val="center"/>
        <w:rPr>
          <w:rFonts w:hint="eastAsia" w:ascii="宋体" w:hAnsi="宋体"/>
          <w:sz w:val="24"/>
          <w:szCs w:val="24"/>
          <w:lang w:val="zh-CN"/>
        </w:rPr>
      </w:pPr>
    </w:p>
    <w:p w14:paraId="45A372F7">
      <w:pPr>
        <w:spacing w:before="100" w:beforeLines="0" w:after="100" w:afterLines="0"/>
        <w:jc w:val="center"/>
        <w:rPr>
          <w:rFonts w:hint="eastAsia" w:ascii="宋体" w:hAnsi="宋体"/>
          <w:sz w:val="24"/>
          <w:szCs w:val="24"/>
          <w:lang w:val="zh-CN"/>
        </w:rPr>
      </w:pPr>
    </w:p>
    <w:p w14:paraId="73C0BB72">
      <w:pPr>
        <w:spacing w:before="100" w:beforeLines="0" w:after="100" w:afterLines="0"/>
        <w:jc w:val="center"/>
        <w:rPr>
          <w:rFonts w:hint="eastAsia" w:ascii="宋体" w:hAnsi="宋体"/>
          <w:sz w:val="24"/>
          <w:szCs w:val="24"/>
          <w:lang w:val="zh-CN"/>
        </w:rPr>
      </w:pPr>
    </w:p>
    <w:p w14:paraId="491C2F9C">
      <w:pPr>
        <w:spacing w:before="100" w:beforeLines="0" w:after="100" w:afterLines="0"/>
        <w:jc w:val="center"/>
        <w:rPr>
          <w:rFonts w:hint="eastAsia" w:ascii="宋体" w:hAnsi="宋体"/>
          <w:sz w:val="24"/>
          <w:szCs w:val="24"/>
          <w:lang w:val="zh-CN"/>
        </w:rPr>
      </w:pPr>
    </w:p>
    <w:p w14:paraId="1AAC38C7">
      <w:pPr>
        <w:spacing w:before="100" w:beforeLines="0" w:after="100" w:afterLines="0"/>
        <w:jc w:val="center"/>
        <w:rPr>
          <w:rFonts w:hint="eastAsia" w:ascii="宋体" w:hAnsi="宋体"/>
          <w:sz w:val="24"/>
          <w:szCs w:val="24"/>
          <w:lang w:val="zh-CN"/>
        </w:rPr>
      </w:pPr>
    </w:p>
    <w:p w14:paraId="5E0C7754">
      <w:pPr>
        <w:spacing w:before="100" w:beforeLines="0" w:after="100" w:afterLines="0"/>
        <w:jc w:val="center"/>
        <w:rPr>
          <w:rFonts w:hint="eastAsia" w:ascii="宋体" w:hAnsi="宋体"/>
          <w:sz w:val="24"/>
          <w:szCs w:val="24"/>
          <w:lang w:val="zh-CN"/>
        </w:rPr>
      </w:pPr>
    </w:p>
    <w:p w14:paraId="5D747D5B">
      <w:pPr>
        <w:spacing w:before="100" w:beforeLines="0" w:after="100" w:afterLines="0"/>
        <w:jc w:val="center"/>
        <w:rPr>
          <w:rFonts w:hint="eastAsia" w:ascii="宋体" w:hAnsi="宋体"/>
          <w:sz w:val="24"/>
          <w:szCs w:val="24"/>
          <w:lang w:val="zh-CN"/>
        </w:rPr>
      </w:pPr>
    </w:p>
    <w:p w14:paraId="52FA57DF">
      <w:pPr>
        <w:spacing w:before="100" w:beforeLines="0" w:after="100" w:afterLines="0"/>
        <w:jc w:val="center"/>
        <w:rPr>
          <w:rFonts w:hint="eastAsia" w:ascii="宋体" w:hAnsi="宋体"/>
          <w:sz w:val="24"/>
          <w:szCs w:val="24"/>
          <w:lang w:val="zh-CN"/>
        </w:rPr>
      </w:pPr>
    </w:p>
    <w:p w14:paraId="1DBF0726">
      <w:pPr>
        <w:spacing w:before="100" w:beforeLines="0" w:after="100" w:afterLines="0"/>
        <w:jc w:val="center"/>
        <w:rPr>
          <w:rFonts w:hint="eastAsia" w:ascii="宋体" w:hAnsi="宋体"/>
          <w:sz w:val="24"/>
          <w:szCs w:val="24"/>
          <w:lang w:val="zh-CN"/>
        </w:rPr>
      </w:pPr>
    </w:p>
    <w:p w14:paraId="05FCE7D1">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112CC20F">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5F3E057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48B540B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7E93AD8E">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78B07D5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7E41D75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0A9419A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4160E17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0463745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2DE8B9A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0BF72AC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4D037D3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60B9209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1267D78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56B86C8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02B8D64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0D783D2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77515F6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6333273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012B86E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07D4548E">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3904FD0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033E5AC6">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55563175">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1F5E106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4FC1307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1AB8E8F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6153FAC0">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673545E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4677D74D">
      <w:pPr>
        <w:spacing w:before="100" w:beforeLines="0" w:after="100" w:afterLines="0"/>
        <w:jc w:val="center"/>
        <w:rPr>
          <w:rFonts w:hint="eastAsia" w:ascii="宋体" w:hAnsi="宋体"/>
          <w:sz w:val="24"/>
          <w:szCs w:val="24"/>
          <w:lang w:val="zh-CN"/>
        </w:rPr>
      </w:pPr>
    </w:p>
    <w:p w14:paraId="62A0234F">
      <w:pPr>
        <w:spacing w:before="100" w:beforeLines="0" w:after="100" w:afterLines="0"/>
        <w:jc w:val="center"/>
        <w:rPr>
          <w:rFonts w:hint="eastAsia" w:ascii="宋体" w:hAnsi="宋体"/>
          <w:sz w:val="24"/>
          <w:szCs w:val="24"/>
          <w:lang w:val="zh-CN"/>
        </w:rPr>
      </w:pPr>
    </w:p>
    <w:p w14:paraId="09910D32">
      <w:pPr>
        <w:spacing w:before="100" w:beforeLines="0" w:after="100" w:afterLines="0"/>
        <w:jc w:val="center"/>
        <w:rPr>
          <w:rFonts w:hint="eastAsia" w:ascii="宋体" w:hAnsi="宋体"/>
          <w:sz w:val="24"/>
          <w:szCs w:val="24"/>
          <w:lang w:val="zh-CN"/>
        </w:rPr>
      </w:pPr>
    </w:p>
    <w:p w14:paraId="7BC3BBCA">
      <w:pPr>
        <w:spacing w:before="100" w:beforeLines="0" w:after="100" w:afterLines="0"/>
        <w:jc w:val="center"/>
        <w:rPr>
          <w:rFonts w:hint="eastAsia" w:ascii="宋体" w:hAnsi="宋体"/>
          <w:sz w:val="24"/>
          <w:szCs w:val="24"/>
          <w:lang w:val="zh-CN"/>
        </w:rPr>
      </w:pPr>
    </w:p>
    <w:p w14:paraId="746A6970">
      <w:pPr>
        <w:spacing w:before="100" w:beforeLines="0" w:after="100" w:afterLines="0"/>
        <w:jc w:val="center"/>
        <w:rPr>
          <w:rFonts w:hint="eastAsia" w:ascii="宋体" w:hAnsi="宋体"/>
          <w:sz w:val="24"/>
          <w:szCs w:val="24"/>
          <w:lang w:val="zh-CN"/>
        </w:rPr>
      </w:pPr>
    </w:p>
    <w:p w14:paraId="73244BE6">
      <w:pPr>
        <w:spacing w:before="100" w:beforeLines="0" w:after="100" w:afterLines="0"/>
        <w:jc w:val="center"/>
        <w:rPr>
          <w:rFonts w:hint="eastAsia" w:ascii="宋体" w:hAnsi="宋体"/>
          <w:sz w:val="24"/>
          <w:szCs w:val="24"/>
          <w:lang w:val="zh-CN"/>
        </w:rPr>
      </w:pPr>
    </w:p>
    <w:p w14:paraId="01AC3FFA">
      <w:pPr>
        <w:spacing w:before="100" w:beforeLines="0" w:after="100" w:afterLines="0"/>
        <w:jc w:val="center"/>
        <w:rPr>
          <w:rFonts w:hint="eastAsia" w:ascii="宋体" w:hAnsi="宋体"/>
          <w:sz w:val="24"/>
          <w:szCs w:val="24"/>
          <w:lang w:val="zh-CN"/>
        </w:rPr>
      </w:pPr>
    </w:p>
    <w:p w14:paraId="56BBE25B">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0EF3B6A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7349A5C2">
      <w:pPr>
        <w:spacing w:before="100" w:after="100"/>
        <w:jc w:val="left"/>
        <w:rPr>
          <w:rFonts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我单位隶属教育局下属的事业单位，主要以普及九年义务教育，培养合格人才为主要职能，从事教育教学事务活动。</w:t>
      </w:r>
    </w:p>
    <w:p w14:paraId="4BC3F04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32BFAA00">
      <w:pPr>
        <w:spacing w:before="100" w:after="100"/>
        <w:jc w:val="left"/>
        <w:rPr>
          <w:rFonts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华池县元城镇元城小学设4个职能股室,包括:办公室、教务处、政教处、总务处。截止2023年末我单位共有正式职工37人，其中高级教师2人，一级教师14人，</w:t>
      </w:r>
      <w:r>
        <w:rPr>
          <w:rFonts w:hint="eastAsia" w:ascii="宋体" w:hAnsi="宋体"/>
          <w:color w:val="000000" w:themeColor="text1"/>
          <w:sz w:val="24"/>
          <w:szCs w:val="24"/>
          <w:lang w:val="en-US" w:eastAsia="zh-CN"/>
          <w14:textFill>
            <w14:solidFill>
              <w14:schemeClr w14:val="tx1"/>
            </w14:solidFill>
          </w14:textFill>
        </w:rPr>
        <w:t>二</w:t>
      </w:r>
      <w:r>
        <w:rPr>
          <w:rFonts w:hint="eastAsia" w:ascii="宋体" w:hAnsi="宋体"/>
          <w:color w:val="000000" w:themeColor="text1"/>
          <w:sz w:val="24"/>
          <w:szCs w:val="24"/>
          <w:lang w:val="zh-CN"/>
          <w14:textFill>
            <w14:solidFill>
              <w14:schemeClr w14:val="tx1"/>
            </w14:solidFill>
          </w14:textFill>
        </w:rPr>
        <w:t>级教师15人，实习教师6人；离退休19人，遗属6人。</w:t>
      </w:r>
    </w:p>
    <w:p w14:paraId="01C9CB38">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24D7AF4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3C6D5A0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1662B34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63EB1A9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25332A6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51007F9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18FBBCB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2D9DB50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2CABC04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20C428E7">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13A4A77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35F31ABC">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701.73万元。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减少124.81万元,下降15.1%,</w:t>
      </w:r>
      <w:r>
        <w:rPr>
          <w:rFonts w:hint="eastAsia" w:ascii="宋体" w:hAnsi="宋体"/>
          <w:color w:val="000000" w:themeColor="text1"/>
          <w:sz w:val="24"/>
          <w:szCs w:val="24"/>
          <w:lang w:val="zh-CN"/>
          <w14:textFill>
            <w14:solidFill>
              <w14:schemeClr w14:val="tx1"/>
            </w14:solidFill>
          </w14:textFill>
        </w:rPr>
        <w:t>主要原因是年初结转和结余</w:t>
      </w:r>
      <w:r>
        <w:rPr>
          <w:rFonts w:hint="eastAsia" w:ascii="宋体" w:hAnsi="宋体"/>
          <w:color w:val="000000" w:themeColor="text1"/>
          <w:sz w:val="24"/>
          <w:szCs w:val="24"/>
          <w:lang w:val="en-US" w:eastAsia="zh-CN"/>
          <w14:textFill>
            <w14:solidFill>
              <w14:schemeClr w14:val="tx1"/>
            </w14:solidFill>
          </w14:textFill>
        </w:rPr>
        <w:t>资金减少</w:t>
      </w:r>
      <w:r>
        <w:rPr>
          <w:rFonts w:hint="eastAsia" w:ascii="宋体" w:hAnsi="宋体"/>
          <w:color w:val="000000" w:themeColor="text1"/>
          <w:sz w:val="24"/>
          <w:szCs w:val="24"/>
          <w:lang w:val="zh-CN"/>
          <w14:textFill>
            <w14:solidFill>
              <w14:schemeClr w14:val="tx1"/>
            </w14:solidFill>
          </w14:textFill>
        </w:rPr>
        <w:t>,年末结转和结余</w:t>
      </w:r>
      <w:r>
        <w:rPr>
          <w:rFonts w:hint="eastAsia" w:ascii="宋体" w:hAnsi="宋体"/>
          <w:color w:val="000000" w:themeColor="text1"/>
          <w:sz w:val="24"/>
          <w:szCs w:val="24"/>
          <w:lang w:val="en-US" w:eastAsia="zh-CN"/>
          <w14:textFill>
            <w14:solidFill>
              <w14:schemeClr w14:val="tx1"/>
            </w14:solidFill>
          </w14:textFill>
        </w:rPr>
        <w:t>资金减少</w:t>
      </w:r>
      <w:r>
        <w:rPr>
          <w:rFonts w:hint="eastAsia" w:ascii="宋体" w:hAnsi="宋体"/>
          <w:color w:val="000000" w:themeColor="text1"/>
          <w:sz w:val="24"/>
          <w:szCs w:val="24"/>
          <w:lang w:val="zh-CN"/>
          <w14:textFill>
            <w14:solidFill>
              <w14:schemeClr w14:val="tx1"/>
            </w14:solidFill>
          </w14:textFill>
        </w:rPr>
        <w:t>。</w:t>
      </w:r>
    </w:p>
    <w:p w14:paraId="42C3ACB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087EC37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2023年度收入合计694.74万元,其中：财政拨款收入694.74万元,占100.00%。</w:t>
      </w:r>
    </w:p>
    <w:p w14:paraId="55205D0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02CA8CE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2023年度支出合计701.73万元,其中：基本支出493.72万元,占70.36%；项目支出208.01万元,占29.64%。</w:t>
      </w:r>
    </w:p>
    <w:p w14:paraId="09ACB22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0B69D3B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701.73万元。与</w:t>
      </w:r>
      <w:r>
        <w:rPr>
          <w:rFonts w:hint="eastAsia" w:ascii="宋体" w:hAnsi="宋体"/>
          <w:color w:val="auto"/>
          <w:sz w:val="24"/>
          <w:szCs w:val="24"/>
          <w:lang w:val="en-US"/>
        </w:rPr>
        <w:t>上</w:t>
      </w:r>
      <w:r>
        <w:rPr>
          <w:rFonts w:hint="eastAsia" w:ascii="宋体" w:hAnsi="宋体"/>
          <w:color w:val="auto"/>
          <w:sz w:val="24"/>
          <w:szCs w:val="24"/>
          <w:lang w:val="zh-CN"/>
        </w:rPr>
        <w:t>年相比,各减少124.53万元,下降15.07%。</w:t>
      </w:r>
      <w:r>
        <w:rPr>
          <w:rFonts w:hint="eastAsia" w:ascii="宋体" w:hAnsi="宋体"/>
          <w:color w:val="000000" w:themeColor="text1"/>
          <w:sz w:val="24"/>
          <w:szCs w:val="24"/>
          <w:lang w:val="zh-CN"/>
          <w14:textFill>
            <w14:solidFill>
              <w14:schemeClr w14:val="tx1"/>
            </w14:solidFill>
          </w14:textFill>
        </w:rPr>
        <w:t>主要原因是年初结转和结余</w:t>
      </w:r>
      <w:r>
        <w:rPr>
          <w:rFonts w:hint="eastAsia" w:ascii="宋体" w:hAnsi="宋体"/>
          <w:color w:val="000000" w:themeColor="text1"/>
          <w:sz w:val="24"/>
          <w:szCs w:val="24"/>
          <w:lang w:val="en-US" w:eastAsia="zh-CN"/>
          <w14:textFill>
            <w14:solidFill>
              <w14:schemeClr w14:val="tx1"/>
            </w14:solidFill>
          </w14:textFill>
        </w:rPr>
        <w:t>资金减少</w:t>
      </w: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且</w:t>
      </w:r>
      <w:r>
        <w:rPr>
          <w:rFonts w:hint="eastAsia" w:ascii="宋体" w:hAnsi="宋体"/>
          <w:color w:val="000000" w:themeColor="text1"/>
          <w:sz w:val="24"/>
          <w:szCs w:val="24"/>
          <w:lang w:val="zh-CN"/>
          <w14:textFill>
            <w14:solidFill>
              <w14:schemeClr w14:val="tx1"/>
            </w14:solidFill>
          </w14:textFill>
        </w:rPr>
        <w:t>年末结转和结余</w:t>
      </w:r>
      <w:r>
        <w:rPr>
          <w:rFonts w:hint="eastAsia" w:ascii="宋体" w:hAnsi="宋体"/>
          <w:color w:val="000000" w:themeColor="text1"/>
          <w:sz w:val="24"/>
          <w:szCs w:val="24"/>
          <w:lang w:val="en-US" w:eastAsia="zh-CN"/>
          <w14:textFill>
            <w14:solidFill>
              <w14:schemeClr w14:val="tx1"/>
            </w14:solidFill>
          </w14:textFill>
        </w:rPr>
        <w:t>资金减少</w:t>
      </w:r>
      <w:r>
        <w:rPr>
          <w:rFonts w:hint="eastAsia" w:ascii="宋体" w:hAnsi="宋体"/>
          <w:color w:val="000000" w:themeColor="text1"/>
          <w:sz w:val="24"/>
          <w:szCs w:val="24"/>
          <w:lang w:val="zh-CN"/>
          <w14:textFill>
            <w14:solidFill>
              <w14:schemeClr w14:val="tx1"/>
            </w14:solidFill>
          </w14:textFill>
        </w:rPr>
        <w:t>。</w:t>
      </w:r>
    </w:p>
    <w:p w14:paraId="5009DEAD">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1F3FB61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33746F5D">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2023年度一般公共预算财政拨款支出701.73万元,较上年决算数增加149.93万元,增长27.17%。</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项目支出增加</w:t>
      </w:r>
      <w:r>
        <w:rPr>
          <w:rFonts w:hint="eastAsia" w:ascii="宋体" w:hAnsi="宋体"/>
          <w:color w:val="000000" w:themeColor="text1"/>
          <w:sz w:val="24"/>
          <w:szCs w:val="24"/>
          <w:lang w:val="zh-CN"/>
          <w14:textFill>
            <w14:solidFill>
              <w14:schemeClr w14:val="tx1"/>
            </w14:solidFill>
          </w14:textFill>
        </w:rPr>
        <w:t>。</w:t>
      </w:r>
    </w:p>
    <w:p w14:paraId="60E9A4AD">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6FA7CD66">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701.73万元，主要用于以下方面：教育支出627.30万元,占89.39%；社会保障和就业支出42.41万元,占6.04%；卫生健康支出32.01万元,占4.56%。</w:t>
      </w:r>
    </w:p>
    <w:p w14:paraId="3D1AB3B5">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31022F2D">
      <w:pPr>
        <w:numPr>
          <w:ilvl w:val="0"/>
          <w:numId w:val="0"/>
        </w:numPr>
        <w:spacing w:before="100" w:beforeLines="0" w:after="100" w:afterLines="0"/>
        <w:ind w:leftChars="0"/>
        <w:jc w:val="left"/>
        <w:rPr>
          <w:rFonts w:hint="default" w:ascii="宋体" w:hAnsi="宋体"/>
          <w:color w:val="auto"/>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535.30万元,支出决算为701.73万元,完成年初预算的131.09%。其中：</w:t>
      </w:r>
    </w:p>
    <w:p w14:paraId="3AB791DD">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年初预算数为440.68万元,支出决算为627.30万元,完成年初预算的142.35%,决算数大于预算数的</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2023年怎加了大额项目资金支出</w:t>
      </w:r>
      <w:r>
        <w:rPr>
          <w:rFonts w:hint="eastAsia" w:ascii="宋体" w:hAnsi="宋体"/>
          <w:color w:val="000000" w:themeColor="text1"/>
          <w:sz w:val="24"/>
          <w:szCs w:val="24"/>
          <w:lang w:val="zh-CN"/>
          <w14:textFill>
            <w14:solidFill>
              <w14:schemeClr w14:val="tx1"/>
            </w14:solidFill>
          </w14:textFill>
        </w:rPr>
        <w:t>。</w:t>
      </w:r>
    </w:p>
    <w:p w14:paraId="4EAAB3C5">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年初预算数为68.08万元,支出决算为42.41万元,完成年初预算的62.3%,决算数小于预算数的</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2023年</w:t>
      </w:r>
      <w:r>
        <w:rPr>
          <w:rFonts w:hint="eastAsia" w:ascii="宋体" w:hAnsi="宋体"/>
          <w:color w:val="000000" w:themeColor="text1"/>
          <w:sz w:val="24"/>
          <w:szCs w:val="24"/>
          <w14:textFill>
            <w14:solidFill>
              <w14:schemeClr w14:val="tx1"/>
            </w14:solidFill>
          </w14:textFill>
        </w:rPr>
        <w:t>有多名教师调走且调入新教师少，使得各类社会保障支付减少。</w:t>
      </w:r>
    </w:p>
    <w:p w14:paraId="37E3B0B1">
      <w:pPr>
        <w:spacing w:before="100" w:beforeLines="0" w:after="100" w:afterLines="0"/>
        <w:jc w:val="left"/>
        <w:rPr>
          <w:rFonts w:hint="default" w:ascii="宋体" w:hAnsi="宋体" w:eastAsia="宋体"/>
          <w:color w:val="FF0000"/>
          <w:sz w:val="24"/>
          <w:szCs w:val="24"/>
          <w:lang w:val="en-US" w:eastAsia="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年初预算数为26.54万元,支出决算为32.01万元,完成年初预算的120.64%,决算数大于预算数的</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后半年人事调动。</w:t>
      </w:r>
    </w:p>
    <w:p w14:paraId="3228490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339E28F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2023年度一般公共预算财政拨款基本支出493.72万元。其中：</w:t>
      </w:r>
    </w:p>
    <w:p w14:paraId="044EFC04">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492.31万元,较上年决算数减少4.15万元,下降0.84%,</w:t>
      </w:r>
      <w:r>
        <w:rPr>
          <w:rFonts w:hint="eastAsia" w:ascii="宋体" w:hAnsi="宋体"/>
          <w:color w:val="000000" w:themeColor="text1"/>
          <w:sz w:val="24"/>
          <w:szCs w:val="24"/>
          <w:lang w:val="zh-CN"/>
          <w14:textFill>
            <w14:solidFill>
              <w14:schemeClr w14:val="tx1"/>
            </w14:solidFill>
          </w14:textFill>
        </w:rPr>
        <w:t>主要原因</w:t>
      </w:r>
      <w:r>
        <w:rPr>
          <w:rFonts w:hint="eastAsia" w:ascii="宋体" w:hAnsi="宋体"/>
          <w:color w:val="000000" w:themeColor="text1"/>
          <w:sz w:val="24"/>
          <w:szCs w:val="24"/>
          <w:lang w:val="en-US" w:eastAsia="zh-CN"/>
          <w14:textFill>
            <w14:solidFill>
              <w14:schemeClr w14:val="tx1"/>
            </w14:solidFill>
          </w14:textFill>
        </w:rPr>
        <w:t>是人事调动造成人员减少。</w:t>
      </w:r>
      <w:r>
        <w:rPr>
          <w:rFonts w:hint="eastAsia" w:ascii="宋体" w:hAnsi="宋体"/>
          <w:color w:val="000000" w:themeColor="text1"/>
          <w:sz w:val="24"/>
          <w:szCs w:val="24"/>
          <w:lang w:val="zh-CN"/>
          <w14:textFill>
            <w14:solidFill>
              <w14:schemeClr w14:val="tx1"/>
            </w14:solidFill>
          </w14:textFill>
        </w:rPr>
        <w:t>人员经费用途主要包括基本工资、津贴补贴、奖金、机关事业单位基本养老保险缴费、职业年金缴费、职工基本医疗保险缴费、公务员医疗补助缴费、其他社会保障缴费、</w:t>
      </w:r>
      <w:r>
        <w:rPr>
          <w:rFonts w:hint="eastAsia" w:ascii="宋体" w:hAnsi="宋体"/>
          <w:color w:val="000000" w:themeColor="text1"/>
          <w:sz w:val="24"/>
          <w:szCs w:val="24"/>
          <w:lang w:val="zh-CN"/>
          <w14:textFill>
            <w14:solidFill>
              <w14:schemeClr w14:val="tx1"/>
            </w14:solidFill>
          </w14:textFill>
        </w:rPr>
        <w:t>对个人和家庭的补助</w:t>
      </w:r>
      <w:r>
        <w:rPr>
          <w:rFonts w:hint="eastAsia" w:ascii="宋体" w:hAnsi="宋体"/>
          <w:color w:val="000000" w:themeColor="text1"/>
          <w:sz w:val="24"/>
          <w:szCs w:val="24"/>
          <w:lang w:val="zh-CN"/>
          <w14:textFill>
            <w14:solidFill>
              <w14:schemeClr w14:val="tx1"/>
            </w14:solidFill>
          </w14:textFill>
        </w:rPr>
        <w:t>、生活补助。</w:t>
      </w:r>
    </w:p>
    <w:p w14:paraId="68D806B7">
      <w:p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1.41万元,较上年决算数减少53.93万元,下降97.45%,</w:t>
      </w:r>
      <w:r>
        <w:rPr>
          <w:rFonts w:hint="eastAsia" w:ascii="宋体" w:hAnsi="宋体"/>
          <w:color w:val="000000" w:themeColor="text1"/>
          <w:sz w:val="24"/>
          <w:szCs w:val="24"/>
          <w:lang w:val="zh-CN"/>
          <w14:textFill>
            <w14:solidFill>
              <w14:schemeClr w14:val="tx1"/>
            </w14:solidFill>
          </w14:textFill>
        </w:rPr>
        <w:t>主要原因是财政支付减少</w:t>
      </w:r>
      <w:r>
        <w:rPr>
          <w:rFonts w:hint="eastAsia" w:ascii="宋体" w:hAnsi="宋体"/>
          <w:color w:val="auto"/>
          <w:sz w:val="24"/>
          <w:szCs w:val="24"/>
          <w:lang w:val="zh-CN"/>
        </w:rPr>
        <w:t>。公用经费用途</w:t>
      </w:r>
      <w:r>
        <w:rPr>
          <w:rFonts w:hint="eastAsia" w:ascii="宋体" w:hAnsi="宋体"/>
          <w:color w:val="auto"/>
          <w:sz w:val="24"/>
          <w:szCs w:val="24"/>
          <w:lang w:val="en-US" w:eastAsia="zh-CN"/>
        </w:rPr>
        <w:t>主要包括</w:t>
      </w:r>
      <w:r>
        <w:rPr>
          <w:rFonts w:hint="eastAsia" w:ascii="宋体" w:hAnsi="宋体"/>
          <w:color w:val="auto"/>
          <w:sz w:val="24"/>
          <w:szCs w:val="24"/>
          <w:lang w:val="zh-CN"/>
        </w:rPr>
        <w:t>商品和服务支出、</w:t>
      </w:r>
      <w:r>
        <w:rPr>
          <w:rFonts w:hint="eastAsia" w:ascii="宋体" w:hAnsi="宋体"/>
          <w:color w:val="000000" w:themeColor="text1"/>
          <w:sz w:val="24"/>
          <w:szCs w:val="24"/>
          <w:lang w:val="zh-CN"/>
          <w14:textFill>
            <w14:solidFill>
              <w14:schemeClr w14:val="tx1"/>
            </w14:solidFill>
          </w14:textFill>
        </w:rPr>
        <w:t>工会经费、福利费。</w:t>
      </w:r>
    </w:p>
    <w:p w14:paraId="7C42EA0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0A806955">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本部门2023年度无政府性基金收入,也没有使用政府性基金安排的支出。</w:t>
      </w:r>
    </w:p>
    <w:p w14:paraId="306CE425">
      <w:pPr>
        <w:spacing w:before="100" w:beforeLines="0" w:after="100" w:afterLines="0"/>
        <w:jc w:val="left"/>
        <w:rPr>
          <w:rFonts w:hint="eastAsia" w:ascii="宋体" w:hAnsi="宋体"/>
          <w:color w:val="auto"/>
          <w:sz w:val="24"/>
          <w:szCs w:val="24"/>
          <w:lang w:val="zh-CN"/>
        </w:rPr>
      </w:pPr>
      <w:r>
        <w:rPr>
          <w:rFonts w:hint="eastAsia" w:ascii="宋体" w:hAnsi="宋体"/>
          <w:b/>
          <w:bCs/>
          <w:color w:val="auto"/>
          <w:sz w:val="24"/>
          <w:szCs w:val="24"/>
          <w:lang w:val="zh-CN" w:eastAsia="zh-CN"/>
        </w:rPr>
        <w:t>八、国有资本经营预算财政拨款支出情况说明</w:t>
      </w:r>
    </w:p>
    <w:p w14:paraId="4336CD83">
      <w:p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zh-CN"/>
          <w14:textFill>
            <w14:solidFill>
              <w14:schemeClr w14:val="tx1"/>
            </w14:solidFill>
          </w14:textFill>
        </w:rPr>
        <w:t>本部门2023年度没有使用国有资本经营预算安排的支出。</w:t>
      </w:r>
    </w:p>
    <w:p w14:paraId="0E52BE0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04C321EE">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我单位属于</w:t>
      </w:r>
      <w:r>
        <w:rPr>
          <w:rFonts w:hint="eastAsia" w:ascii="宋体" w:hAnsi="宋体"/>
          <w:color w:val="000000" w:themeColor="text1"/>
          <w:sz w:val="24"/>
          <w:szCs w:val="24"/>
          <w:lang w:val="en-US" w:eastAsia="zh-CN"/>
          <w14:textFill>
            <w14:solidFill>
              <w14:schemeClr w14:val="tx1"/>
            </w14:solidFill>
          </w14:textFill>
        </w:rPr>
        <w:t>财政拨款事业单位</w:t>
      </w:r>
      <w:r>
        <w:rPr>
          <w:rFonts w:hint="eastAsia" w:ascii="宋体" w:hAnsi="宋体"/>
          <w:color w:val="000000" w:themeColor="text1"/>
          <w:sz w:val="24"/>
          <w:szCs w:val="24"/>
          <w:lang w:val="zh-CN"/>
          <w14:textFill>
            <w14:solidFill>
              <w14:schemeClr w14:val="tx1"/>
            </w14:solidFill>
          </w14:textFill>
        </w:rPr>
        <w:t>,财政未保障我单位</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w:t>
      </w:r>
    </w:p>
    <w:p w14:paraId="5FDA890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11544C31">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auto"/>
          <w:sz w:val="24"/>
          <w:szCs w:val="24"/>
          <w:lang w:val="zh-CN"/>
        </w:rPr>
        <w:t>2023年度本部门培训费支出0.35万元,较上年决算数增加0.35万元,增长%,</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疫情结束培训增加</w:t>
      </w:r>
      <w:r>
        <w:rPr>
          <w:rFonts w:hint="eastAsia" w:ascii="宋体" w:hAnsi="宋体"/>
          <w:color w:val="000000" w:themeColor="text1"/>
          <w:sz w:val="24"/>
          <w:szCs w:val="24"/>
          <w:lang w:val="zh-CN"/>
          <w14:textFill>
            <w14:solidFill>
              <w14:schemeClr w14:val="tx1"/>
            </w14:solidFill>
          </w14:textFill>
        </w:rPr>
        <w:t>。</w:t>
      </w:r>
    </w:p>
    <w:p w14:paraId="50901FC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69501D18">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我单位2023年度无政府采购相关经费。</w:t>
      </w:r>
    </w:p>
    <w:p w14:paraId="605C18FC">
      <w:pPr>
        <w:spacing w:before="100" w:beforeLines="0" w:after="100" w:afterLines="0"/>
        <w:jc w:val="left"/>
        <w:rPr>
          <w:rFonts w:hint="eastAsia" w:ascii="宋体" w:hAnsi="宋体"/>
          <w:color w:val="auto"/>
          <w:sz w:val="24"/>
          <w:szCs w:val="24"/>
          <w:lang w:val="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4A4D1BE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其他用车</w:t>
      </w:r>
      <w:r>
        <w:rPr>
          <w:rFonts w:hint="eastAsia" w:ascii="宋体" w:hAnsi="宋体"/>
          <w:color w:val="auto"/>
          <w:sz w:val="24"/>
          <w:szCs w:val="24"/>
          <w:lang w:val="en-US" w:eastAsia="zh-CN"/>
        </w:rPr>
        <w:t>无。</w:t>
      </w:r>
      <w:r>
        <w:rPr>
          <w:rFonts w:hint="eastAsia" w:ascii="宋体" w:hAnsi="宋体"/>
          <w:color w:val="auto"/>
          <w:sz w:val="24"/>
          <w:szCs w:val="24"/>
          <w:lang w:val="zh-CN"/>
        </w:rPr>
        <w:t>单价100万元(含)以上设备0台(套)。</w:t>
      </w:r>
    </w:p>
    <w:p w14:paraId="36902E99">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797D99D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4A931A27">
      <w:pPr>
        <w:spacing w:before="100" w:beforeLines="0" w:after="100" w:afterLines="0"/>
        <w:jc w:val="left"/>
        <w:rPr>
          <w:rFonts w:hint="eastAsia" w:ascii="宋体" w:hAnsi="宋体"/>
          <w:color w:val="FF0000"/>
          <w:sz w:val="24"/>
          <w:szCs w:val="24"/>
          <w:lang w:val="zh-CN"/>
        </w:rPr>
      </w:pPr>
    </w:p>
    <w:p w14:paraId="0D37E2FA">
      <w:pPr>
        <w:spacing w:before="100" w:beforeLines="0" w:after="100" w:afterLines="0"/>
        <w:jc w:val="left"/>
        <w:rPr>
          <w:rFonts w:hint="eastAsia" w:ascii="宋体" w:hAnsi="宋体"/>
          <w:color w:val="auto"/>
          <w:sz w:val="24"/>
          <w:szCs w:val="24"/>
          <w:lang w:val="zh-CN"/>
        </w:rPr>
      </w:pPr>
    </w:p>
    <w:p w14:paraId="413330B4">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5F58A9B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19A9168D">
      <w:pPr>
        <w:spacing w:before="100" w:after="100"/>
        <w:ind w:firstLine="480" w:firstLineChars="200"/>
        <w:jc w:val="left"/>
        <w:rPr>
          <w:rFonts w:ascii="宋体" w:hAnsi="宋体" w:cs="宋体"/>
          <w:kern w:val="0"/>
          <w:sz w:val="24"/>
          <w:szCs w:val="24"/>
        </w:rPr>
      </w:pPr>
      <w:r>
        <w:rPr>
          <w:rFonts w:hint="eastAsia" w:ascii="宋体" w:hAnsi="宋体" w:cs="宋体"/>
          <w:kern w:val="0"/>
          <w:sz w:val="24"/>
          <w:szCs w:val="24"/>
        </w:rPr>
        <w:t>根据预算绩效管理要求,本单位对202</w:t>
      </w:r>
      <w:r>
        <w:rPr>
          <w:rFonts w:ascii="宋体" w:hAnsi="宋体" w:cs="宋体"/>
          <w:kern w:val="0"/>
          <w:sz w:val="24"/>
          <w:szCs w:val="24"/>
        </w:rPr>
        <w:t>3</w:t>
      </w:r>
      <w:r>
        <w:rPr>
          <w:rFonts w:hint="eastAsia" w:ascii="宋体" w:hAnsi="宋体" w:cs="宋体"/>
          <w:kern w:val="0"/>
          <w:sz w:val="24"/>
          <w:szCs w:val="24"/>
        </w:rPr>
        <w:t>年度一般公共预算项目支出开展绩效自评,对202</w:t>
      </w:r>
      <w:r>
        <w:rPr>
          <w:rFonts w:ascii="宋体" w:hAnsi="宋体" w:cs="宋体"/>
          <w:kern w:val="0"/>
          <w:sz w:val="24"/>
          <w:szCs w:val="24"/>
        </w:rPr>
        <w:t>3</w:t>
      </w:r>
      <w:r>
        <w:rPr>
          <w:rFonts w:hint="eastAsia" w:ascii="宋体" w:hAnsi="宋体" w:cs="宋体"/>
          <w:kern w:val="0"/>
          <w:sz w:val="24"/>
          <w:szCs w:val="24"/>
        </w:rPr>
        <w:t>年整体支出开展了绩效自评共涉及资金</w:t>
      </w:r>
      <w:r>
        <w:rPr>
          <w:rFonts w:hint="eastAsia" w:ascii="宋体" w:hAnsi="宋体"/>
          <w:color w:val="auto"/>
          <w:sz w:val="24"/>
          <w:szCs w:val="24"/>
          <w:lang w:val="zh-CN"/>
        </w:rPr>
        <w:t>701.73</w:t>
      </w:r>
      <w:r>
        <w:rPr>
          <w:rFonts w:ascii="宋体" w:hAnsi="宋体" w:cs="宋体"/>
          <w:kern w:val="0"/>
          <w:sz w:val="24"/>
          <w:szCs w:val="24"/>
        </w:rPr>
        <w:t>万</w:t>
      </w:r>
      <w:r>
        <w:rPr>
          <w:rFonts w:hint="eastAsia" w:ascii="宋体" w:hAnsi="宋体" w:cs="宋体"/>
          <w:kern w:val="0"/>
          <w:sz w:val="24"/>
          <w:szCs w:val="24"/>
        </w:rPr>
        <w:t>元,占一般公共预算项目支出总额的100%。从评价情况来看,自评得分100分。其中,一级项目2个,二级项目0个,共涉及资金</w:t>
      </w:r>
      <w:bookmarkStart w:id="0" w:name="OLE_LINK18"/>
      <w:bookmarkStart w:id="1" w:name="OLE_LINK19"/>
      <w:r>
        <w:rPr>
          <w:rFonts w:hint="eastAsia" w:ascii="宋体" w:hAnsi="宋体" w:cs="宋体"/>
          <w:kern w:val="0"/>
          <w:sz w:val="24"/>
          <w:szCs w:val="24"/>
          <w:lang w:val="en-US" w:eastAsia="zh-CN"/>
        </w:rPr>
        <w:t>45.89</w:t>
      </w:r>
      <w:r>
        <w:rPr>
          <w:rFonts w:ascii="宋体" w:hAnsi="宋体" w:cs="宋体"/>
          <w:kern w:val="0"/>
          <w:sz w:val="24"/>
          <w:szCs w:val="24"/>
        </w:rPr>
        <w:t>万</w:t>
      </w:r>
      <w:r>
        <w:rPr>
          <w:rFonts w:hint="eastAsia" w:ascii="宋体" w:hAnsi="宋体" w:cs="宋体"/>
          <w:kern w:val="0"/>
          <w:sz w:val="24"/>
          <w:szCs w:val="24"/>
        </w:rPr>
        <w:t>元</w:t>
      </w:r>
      <w:bookmarkEnd w:id="0"/>
      <w:bookmarkEnd w:id="1"/>
      <w:r>
        <w:rPr>
          <w:rFonts w:hint="eastAsia" w:ascii="宋体" w:hAnsi="宋体" w:cs="宋体"/>
          <w:kern w:val="0"/>
          <w:sz w:val="24"/>
          <w:szCs w:val="24"/>
        </w:rPr>
        <w:t>,占一般公共预算项目支出总额的100%。组织对“学生营养餐”“困难学生生活补助”等2个项目开展了部门评价,涉及一般公共预算支出</w:t>
      </w:r>
      <w:bookmarkStart w:id="2" w:name="OLE_LINK24"/>
      <w:bookmarkStart w:id="3" w:name="OLE_LINK23"/>
      <w:r>
        <w:rPr>
          <w:rFonts w:hint="eastAsia" w:ascii="宋体" w:hAnsi="宋体" w:cs="宋体"/>
          <w:kern w:val="0"/>
          <w:sz w:val="24"/>
          <w:szCs w:val="24"/>
          <w:lang w:val="en-US" w:eastAsia="zh-CN"/>
        </w:rPr>
        <w:t>45.89</w:t>
      </w:r>
      <w:r>
        <w:rPr>
          <w:rFonts w:hint="eastAsia" w:ascii="宋体" w:hAnsi="宋体" w:cs="宋体"/>
          <w:kern w:val="0"/>
          <w:sz w:val="24"/>
          <w:szCs w:val="24"/>
        </w:rPr>
        <w:t>万元</w:t>
      </w:r>
      <w:bookmarkEnd w:id="2"/>
      <w:bookmarkEnd w:id="3"/>
      <w:r>
        <w:rPr>
          <w:rFonts w:hint="eastAsia" w:ascii="宋体" w:hAnsi="宋体" w:cs="宋体"/>
          <w:kern w:val="0"/>
          <w:sz w:val="24"/>
          <w:szCs w:val="24"/>
        </w:rPr>
        <w:t>,政府性基金预算支出0元,国有资本经营预算支出0元。从评价情况来看,从项目的经济性、效率性、有效性和可持续性等方面进行量化、具体分析，综合得分均超过98分，评价结果为“优”。</w:t>
      </w:r>
    </w:p>
    <w:p w14:paraId="74BE06D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33EC4E06">
      <w:pPr>
        <w:spacing w:before="100" w:after="100"/>
        <w:ind w:firstLine="480" w:firstLineChars="200"/>
        <w:jc w:val="left"/>
        <w:rPr>
          <w:rFonts w:ascii="宋体" w:hAnsi="宋体" w:cs="宋体"/>
          <w:kern w:val="0"/>
          <w:sz w:val="24"/>
          <w:szCs w:val="24"/>
        </w:rPr>
      </w:pPr>
      <w:r>
        <w:rPr>
          <w:rFonts w:hint="eastAsia" w:ascii="宋体" w:hAnsi="宋体" w:cs="宋体"/>
          <w:kern w:val="0"/>
          <w:sz w:val="24"/>
          <w:szCs w:val="24"/>
        </w:rPr>
        <w:t>我单位在202</w:t>
      </w:r>
      <w:r>
        <w:rPr>
          <w:rFonts w:ascii="宋体" w:hAnsi="宋体" w:cs="宋体"/>
          <w:kern w:val="0"/>
          <w:sz w:val="24"/>
          <w:szCs w:val="24"/>
        </w:rPr>
        <w:t>3</w:t>
      </w:r>
      <w:r>
        <w:rPr>
          <w:rFonts w:hint="eastAsia" w:ascii="宋体" w:hAnsi="宋体" w:cs="宋体"/>
          <w:kern w:val="0"/>
          <w:sz w:val="24"/>
          <w:szCs w:val="24"/>
        </w:rPr>
        <w:t>年度部门决算中反映部门整体支出绩效自评结果。部门整体支出绩效自评情况：根据年初设定的绩效目标,项目绩效自评得分100分。全年预算数为</w:t>
      </w:r>
      <w:bookmarkStart w:id="4" w:name="OLE_LINK21"/>
      <w:bookmarkStart w:id="5" w:name="OLE_LINK22"/>
      <w:r>
        <w:rPr>
          <w:rFonts w:hint="eastAsia" w:ascii="宋体" w:hAnsi="宋体"/>
          <w:color w:val="auto"/>
          <w:sz w:val="24"/>
          <w:szCs w:val="24"/>
          <w:lang w:val="zh-CN"/>
        </w:rPr>
        <w:t>701.73</w:t>
      </w:r>
      <w:r>
        <w:rPr>
          <w:rFonts w:ascii="宋体" w:hAnsi="宋体" w:cs="宋体"/>
          <w:kern w:val="0"/>
          <w:sz w:val="24"/>
          <w:szCs w:val="24"/>
        </w:rPr>
        <w:t>万</w:t>
      </w:r>
      <w:r>
        <w:rPr>
          <w:rFonts w:hint="eastAsia" w:ascii="宋体" w:hAnsi="宋体" w:cs="宋体"/>
          <w:kern w:val="0"/>
          <w:sz w:val="24"/>
          <w:szCs w:val="24"/>
        </w:rPr>
        <w:t>元</w:t>
      </w:r>
      <w:bookmarkEnd w:id="4"/>
      <w:bookmarkEnd w:id="5"/>
      <w:r>
        <w:rPr>
          <w:rFonts w:hint="eastAsia" w:ascii="宋体" w:hAnsi="宋体" w:cs="宋体"/>
          <w:kern w:val="0"/>
          <w:sz w:val="24"/>
          <w:szCs w:val="24"/>
        </w:rPr>
        <w:t>,执行数为</w:t>
      </w:r>
      <w:r>
        <w:rPr>
          <w:rFonts w:hint="eastAsia" w:ascii="宋体" w:hAnsi="宋体"/>
          <w:color w:val="auto"/>
          <w:sz w:val="24"/>
          <w:szCs w:val="24"/>
          <w:lang w:val="zh-CN"/>
        </w:rPr>
        <w:t>701.73</w:t>
      </w:r>
      <w:r>
        <w:rPr>
          <w:rFonts w:hint="eastAsia" w:ascii="宋体" w:hAnsi="宋体" w:cs="宋体"/>
          <w:kern w:val="0"/>
          <w:sz w:val="24"/>
          <w:szCs w:val="24"/>
        </w:rPr>
        <w:t>万元,完成预算的100%。202</w:t>
      </w:r>
      <w:r>
        <w:rPr>
          <w:rFonts w:ascii="宋体" w:hAnsi="宋体" w:cs="宋体"/>
          <w:kern w:val="0"/>
          <w:sz w:val="24"/>
          <w:szCs w:val="24"/>
        </w:rPr>
        <w:t>3</w:t>
      </w:r>
      <w:r>
        <w:rPr>
          <w:rFonts w:hint="eastAsia" w:ascii="宋体" w:hAnsi="宋体" w:cs="宋体"/>
          <w:kern w:val="0"/>
          <w:sz w:val="24"/>
          <w:szCs w:val="24"/>
        </w:rPr>
        <w:t>年度部门决算中反映学生营养餐、困难学生生活补助等2个项目绩效自评结果。学生营养餐项目绩效自评情况：根据年初设定的绩效目标,项目绩效自评得分为100分。项目全年预算数为</w:t>
      </w:r>
      <w:r>
        <w:rPr>
          <w:rFonts w:hint="eastAsia" w:ascii="宋体" w:hAnsi="宋体" w:cs="宋体"/>
          <w:kern w:val="0"/>
          <w:sz w:val="24"/>
          <w:szCs w:val="24"/>
          <w:lang w:val="en-US" w:eastAsia="zh-CN"/>
        </w:rPr>
        <w:t>37.56</w:t>
      </w:r>
      <w:r>
        <w:rPr>
          <w:rFonts w:hint="eastAsia" w:ascii="宋体" w:hAnsi="宋体" w:cs="宋体"/>
          <w:kern w:val="0"/>
          <w:sz w:val="24"/>
          <w:szCs w:val="24"/>
        </w:rPr>
        <w:t>万元,执行数为</w:t>
      </w:r>
      <w:r>
        <w:rPr>
          <w:rFonts w:hint="eastAsia" w:ascii="宋体" w:hAnsi="宋体" w:cs="宋体"/>
          <w:kern w:val="0"/>
          <w:sz w:val="24"/>
          <w:szCs w:val="24"/>
          <w:lang w:val="en-US" w:eastAsia="zh-CN"/>
        </w:rPr>
        <w:t>37.56</w:t>
      </w:r>
      <w:r>
        <w:rPr>
          <w:rFonts w:hint="eastAsia" w:ascii="宋体" w:hAnsi="宋体" w:cs="宋体"/>
          <w:kern w:val="0"/>
          <w:sz w:val="24"/>
          <w:szCs w:val="24"/>
        </w:rPr>
        <w:t>万元,完成预算的100%。项目绩效目标完成情况：一是资金拨付和使用按照计划完成；二是确保我校学生营养得到保障。发现的主要问题及原因：随着物价上涨，补助标准有待提高。下一步改进措施：完善相关机制，保障项目实施。困难学生生活补助项目绩效自评情况根据年初设定的绩效目标,项目绩效自评得分为100分。项目全年预算数为</w:t>
      </w:r>
      <w:r>
        <w:rPr>
          <w:rFonts w:hint="eastAsia" w:ascii="宋体" w:hAnsi="宋体" w:cs="宋体"/>
          <w:kern w:val="0"/>
          <w:sz w:val="24"/>
          <w:szCs w:val="24"/>
          <w:lang w:val="en-US" w:eastAsia="zh-CN"/>
        </w:rPr>
        <w:t>8.33</w:t>
      </w:r>
      <w:r>
        <w:rPr>
          <w:rFonts w:ascii="宋体" w:hAnsi="宋体" w:cs="宋体"/>
          <w:kern w:val="0"/>
          <w:sz w:val="24"/>
          <w:szCs w:val="24"/>
        </w:rPr>
        <w:t>万</w:t>
      </w:r>
      <w:r>
        <w:rPr>
          <w:rFonts w:hint="eastAsia" w:ascii="宋体" w:hAnsi="宋体" w:cs="宋体"/>
          <w:kern w:val="0"/>
          <w:sz w:val="24"/>
          <w:szCs w:val="24"/>
        </w:rPr>
        <w:t>元,执行数为</w:t>
      </w:r>
      <w:r>
        <w:rPr>
          <w:rFonts w:hint="eastAsia" w:ascii="宋体" w:hAnsi="宋体" w:cs="宋体"/>
          <w:kern w:val="0"/>
          <w:sz w:val="24"/>
          <w:szCs w:val="24"/>
          <w:lang w:val="en-US" w:eastAsia="zh-CN"/>
        </w:rPr>
        <w:t>8.33</w:t>
      </w:r>
      <w:bookmarkStart w:id="8" w:name="_GoBack"/>
      <w:bookmarkEnd w:id="8"/>
      <w:r>
        <w:rPr>
          <w:rFonts w:ascii="宋体" w:hAnsi="宋体" w:cs="宋体"/>
          <w:kern w:val="0"/>
          <w:sz w:val="24"/>
          <w:szCs w:val="24"/>
        </w:rPr>
        <w:t>万元</w:t>
      </w:r>
      <w:r>
        <w:rPr>
          <w:rFonts w:hint="eastAsia" w:ascii="宋体" w:hAnsi="宋体" w:cs="宋体"/>
          <w:kern w:val="0"/>
          <w:sz w:val="24"/>
          <w:szCs w:val="24"/>
        </w:rPr>
        <w:t>,完成预算的100%。项目绩效目标完成情况：一是资金拨付和使用按照计划完成；二是保证专款专用。发现的主要问题及原因：台账管理欠规范。下一步改进措施：做好学生资助台账建设。</w:t>
      </w:r>
    </w:p>
    <w:p w14:paraId="0CE4BFD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61A9D647">
      <w:pPr>
        <w:spacing w:before="100" w:after="100"/>
        <w:ind w:firstLine="480" w:firstLineChars="200"/>
        <w:rPr>
          <w:rFonts w:asciiTheme="minorEastAsia" w:hAnsiTheme="minorEastAsia" w:eastAsiaTheme="minorEastAsia" w:cstheme="minorEastAsia"/>
          <w:sz w:val="24"/>
          <w:szCs w:val="24"/>
          <w:lang w:val="zh-CN"/>
        </w:rPr>
      </w:pPr>
      <w:bookmarkStart w:id="6" w:name="OLE_LINK26"/>
      <w:bookmarkStart w:id="7" w:name="OLE_LINK27"/>
      <w:r>
        <w:rPr>
          <w:rFonts w:hint="eastAsia" w:asciiTheme="minorEastAsia" w:hAnsiTheme="minorEastAsia" w:eastAsiaTheme="minorEastAsia" w:cstheme="minorEastAsia"/>
          <w:sz w:val="24"/>
          <w:szCs w:val="24"/>
          <w:lang w:val="zh-CN"/>
        </w:rPr>
        <w:t>部门（单位）整体支出绩效自评表（见附件）</w:t>
      </w:r>
    </w:p>
    <w:bookmarkEnd w:id="6"/>
    <w:bookmarkEnd w:id="7"/>
    <w:p w14:paraId="216664C9">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54B41B8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62217EC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5959D7A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119B8E5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7CCF1B66">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1CE9FD4B">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50F4800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031FDF6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59AC864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2D97CC4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0AFE757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4714DD6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5975F5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3C6F44B">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6BEA74CD">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Y2U2Y2U0ZjUxN2I5MTMxNjNhYjk4NGIwMGUwMzEifQ=="/>
  </w:docVars>
  <w:rsids>
    <w:rsidRoot w:val="00000000"/>
    <w:rsid w:val="1B491A1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4897cddc-31f1-4931-8a79-0fecc8497583}">
  <ds:schemaRefs/>
</ds:datastoreItem>
</file>

<file path=customXml/itemProps2.xml><?xml version="1.0" encoding="utf-8"?>
<ds:datastoreItem xmlns:ds="http://schemas.openxmlformats.org/officeDocument/2006/customXml" ds:itemID="{1e258f30-b115-4534-81ed-6d99801ae7da}">
  <ds:schemaRefs/>
</ds:datastoreItem>
</file>

<file path=customXml/itemProps3.xml><?xml version="1.0" encoding="utf-8"?>
<ds:datastoreItem xmlns:ds="http://schemas.openxmlformats.org/officeDocument/2006/customXml" ds:itemID="{cb21aae6-1767-49e2-9a3a-5900f21d795f}">
  <ds:schemaRefs/>
</ds:datastoreItem>
</file>

<file path=customXml/itemProps4.xml><?xml version="1.0" encoding="utf-8"?>
<ds:datastoreItem xmlns:ds="http://schemas.openxmlformats.org/officeDocument/2006/customXml" ds:itemID="{34bff5f9-7379-4f08-9e8d-239db1e63cd3}">
  <ds:schemaRefs/>
</ds:datastoreItem>
</file>

<file path=customXml/itemProps5.xml><?xml version="1.0" encoding="utf-8"?>
<ds:datastoreItem xmlns:ds="http://schemas.openxmlformats.org/officeDocument/2006/customXml" ds:itemID="{72daa522-3187-48de-a7ad-1c008e176a30}">
  <ds:schemaRefs/>
</ds:datastoreItem>
</file>

<file path=customXml/itemProps6.xml><?xml version="1.0" encoding="utf-8"?>
<ds:datastoreItem xmlns:ds="http://schemas.openxmlformats.org/officeDocument/2006/customXml" ds:itemID="{06e225e7-1412-4e45-9766-4adcb56fb09a}">
  <ds:schemaRefs/>
</ds:datastoreItem>
</file>

<file path=customXml/itemProps7.xml><?xml version="1.0" encoding="utf-8"?>
<ds:datastoreItem xmlns:ds="http://schemas.openxmlformats.org/officeDocument/2006/customXml" ds:itemID="{53ad0107-d3ad-4ab6-bcca-8696e9eb6cea}">
  <ds:schemaRefs/>
</ds:datastoreItem>
</file>

<file path=customXml/itemProps8.xml><?xml version="1.0" encoding="utf-8"?>
<ds:datastoreItem xmlns:ds="http://schemas.openxmlformats.org/officeDocument/2006/customXml" ds:itemID="{c8387694-3f76-49f8-bac7-f8904a37e13b}">
  <ds:schemaRefs/>
</ds:datastoreItem>
</file>

<file path=customXml/itemProps9.xml><?xml version="1.0" encoding="utf-8"?>
<ds:datastoreItem xmlns:ds="http://schemas.openxmlformats.org/officeDocument/2006/customXml" ds:itemID="{042f8643-f6f7-465d-b0c0-01bbd62847d0}">
  <ds:schemaRefs/>
</ds:datastoreItem>
</file>

<file path=docProps/app.xml><?xml version="1.0" encoding="utf-8"?>
<Properties xmlns="http://schemas.openxmlformats.org/officeDocument/2006/extended-properties" xmlns:vt="http://schemas.openxmlformats.org/officeDocument/2006/docPropsVTypes">
  <Template>Normal.dotm</Template>
  <Pages>7</Pages>
  <Words>7286</Words>
  <Characters>8443</Characters>
  <Lines>0</Lines>
  <Paragraphs>0</Paragraphs>
  <TotalTime>1</TotalTime>
  <ScaleCrop>false</ScaleCrop>
  <LinksUpToDate>false</LinksUpToDate>
  <CharactersWithSpaces>8447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北陌</cp:lastModifiedBy>
  <dcterms:modified xsi:type="dcterms:W3CDTF">2024-09-18T06:18:23Z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