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44"/>
          <w:szCs w:val="44"/>
          <w:lang w:val="zh-CN"/>
        </w:rPr>
      </w:pPr>
    </w:p>
    <w:p>
      <w:pPr>
        <w:spacing w:before="100" w:beforeLines="0" w:after="100" w:afterLines="0"/>
        <w:jc w:val="center"/>
        <w:rPr>
          <w:rFonts w:hint="eastAsia" w:ascii="宋体" w:hAnsi="宋体"/>
          <w:sz w:val="44"/>
          <w:szCs w:val="44"/>
          <w:lang w:val="zh-CN"/>
        </w:rPr>
      </w:pPr>
      <w:r>
        <w:rPr>
          <w:rFonts w:hint="eastAsia" w:ascii="宋体" w:hAnsi="宋体"/>
          <w:sz w:val="44"/>
          <w:szCs w:val="44"/>
          <w:lang w:val="zh-CN"/>
        </w:rPr>
        <w:t>2023年度</w:t>
      </w:r>
    </w:p>
    <w:p>
      <w:pPr>
        <w:spacing w:before="100" w:beforeLines="0" w:after="100" w:afterLines="0"/>
        <w:jc w:val="center"/>
        <w:rPr>
          <w:rFonts w:hint="eastAsia" w:ascii="宋体" w:hAnsi="宋体"/>
          <w:sz w:val="44"/>
          <w:szCs w:val="44"/>
          <w:lang w:val="zh-CN"/>
        </w:rPr>
      </w:pPr>
      <w:r>
        <w:rPr>
          <w:rFonts w:hint="eastAsia" w:ascii="宋体" w:hAnsi="宋体"/>
          <w:sz w:val="44"/>
          <w:szCs w:val="44"/>
          <w:lang w:val="zh-CN"/>
        </w:rPr>
        <w:t>华池县乔川九年制学校部门决算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我单位隶属教育局下属的事业单位，主要以普及九年义务教育，培养合格人才为主要职能，从事教育教学事务活动。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4" w:beforeAutospacing="0" w:after="84" w:afterAutospacing="0"/>
        <w:ind w:left="0" w:right="0" w:firstLine="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（1）机关内设机构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4" w:beforeAutospacing="0" w:after="84" w:afterAutospacing="0"/>
        <w:ind w:left="0" w:right="0" w:firstLine="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华池县乔川九年制学校内设</w:t>
      </w:r>
      <w:r>
        <w:rPr>
          <w:rFonts w:hint="eastAsia" w:ascii="宋体" w:hAnsi="宋体" w:cstheme="minorBidi"/>
          <w:color w:val="auto"/>
          <w:kern w:val="2"/>
          <w:sz w:val="24"/>
          <w:szCs w:val="24"/>
          <w:lang w:val="en-US" w:eastAsia="zh-CN"/>
        </w:rPr>
        <w:t>4</w:t>
      </w:r>
      <w:r>
        <w:rPr>
          <w:rFonts w:hint="eastAsia" w:ascii="宋体" w:hAnsi="宋体" w:eastAsia="宋体" w:cstheme="minorBidi"/>
          <w:color w:val="auto"/>
          <w:kern w:val="2"/>
          <w:sz w:val="24"/>
          <w:szCs w:val="24"/>
          <w:lang w:val="zh-CN"/>
        </w:rPr>
        <w:t>个职能股室,包括:教务处、德育处、后勤处、少年宫办公室。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4" w:beforeAutospacing="0" w:after="84" w:afterAutospacing="0"/>
        <w:ind w:left="0" w:right="0" w:firstLine="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（2）人员情况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4" w:beforeAutospacing="0" w:after="84" w:afterAutospacing="0"/>
        <w:ind w:left="0" w:right="0" w:firstLine="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202</w:t>
      </w:r>
      <w:r>
        <w:rPr>
          <w:rFonts w:hint="eastAsia" w:ascii="宋体" w:hAnsi="宋体" w:eastAsia="宋体" w:cstheme="minorBidi"/>
          <w:color w:val="auto"/>
          <w:kern w:val="2"/>
          <w:sz w:val="24"/>
          <w:szCs w:val="24"/>
          <w:lang w:val="en-US" w:eastAsia="zh-CN"/>
        </w:rPr>
        <w:t>3</w:t>
      </w:r>
      <w:r>
        <w:rPr>
          <w:rFonts w:hint="eastAsia" w:ascii="宋体" w:hAnsi="宋体" w:eastAsia="宋体" w:cstheme="minorBidi"/>
          <w:color w:val="auto"/>
          <w:kern w:val="2"/>
          <w:sz w:val="24"/>
          <w:szCs w:val="24"/>
          <w:lang w:val="zh-CN"/>
        </w:rPr>
        <w:t>年度，我单位共有编制</w:t>
      </w:r>
      <w:r>
        <w:rPr>
          <w:rFonts w:hint="eastAsia" w:ascii="宋体" w:hAnsi="宋体" w:eastAsia="宋体" w:cstheme="minorBidi"/>
          <w:color w:val="auto"/>
          <w:kern w:val="2"/>
          <w:sz w:val="24"/>
          <w:szCs w:val="24"/>
          <w:lang w:val="en-US" w:eastAsia="zh-CN"/>
        </w:rPr>
        <w:t>16</w:t>
      </w:r>
      <w:r>
        <w:rPr>
          <w:rFonts w:hint="eastAsia" w:ascii="宋体" w:hAnsi="宋体" w:eastAsia="宋体" w:cstheme="minorBidi"/>
          <w:color w:val="auto"/>
          <w:kern w:val="2"/>
          <w:sz w:val="24"/>
          <w:szCs w:val="24"/>
          <w:lang w:val="zh-CN"/>
        </w:rPr>
        <w:t>名，其中：行政编制0名，参公事业编制0名，事业编制</w:t>
      </w:r>
      <w:r>
        <w:rPr>
          <w:rFonts w:hint="eastAsia" w:ascii="宋体" w:hAnsi="宋体" w:eastAsia="宋体" w:cstheme="minorBidi"/>
          <w:color w:val="auto"/>
          <w:kern w:val="2"/>
          <w:sz w:val="24"/>
          <w:szCs w:val="24"/>
          <w:lang w:val="en-US" w:eastAsia="zh-CN"/>
        </w:rPr>
        <w:t>16</w:t>
      </w:r>
      <w:r>
        <w:rPr>
          <w:rFonts w:hint="eastAsia" w:ascii="宋体" w:hAnsi="宋体" w:eastAsia="宋体" w:cstheme="minorBidi"/>
          <w:color w:val="auto"/>
          <w:kern w:val="2"/>
          <w:sz w:val="24"/>
          <w:szCs w:val="24"/>
          <w:lang w:val="zh-CN"/>
        </w:rPr>
        <w:t>名，后勤编制0名。财政供养总人数4</w:t>
      </w:r>
      <w:r>
        <w:rPr>
          <w:rFonts w:hint="eastAsia" w:ascii="宋体" w:hAnsi="宋体" w:eastAsia="宋体" w:cstheme="minorBidi"/>
          <w:color w:val="auto"/>
          <w:kern w:val="2"/>
          <w:sz w:val="24"/>
          <w:szCs w:val="24"/>
          <w:lang w:val="en-US" w:eastAsia="zh-CN"/>
        </w:rPr>
        <w:t>1</w:t>
      </w:r>
      <w:r>
        <w:rPr>
          <w:rFonts w:hint="eastAsia" w:ascii="宋体" w:hAnsi="宋体" w:eastAsia="宋体" w:cstheme="minorBidi"/>
          <w:color w:val="auto"/>
          <w:kern w:val="2"/>
          <w:sz w:val="24"/>
          <w:szCs w:val="24"/>
          <w:lang w:val="zh-CN"/>
        </w:rPr>
        <w:t>人，其中：在职人员</w:t>
      </w:r>
      <w:r>
        <w:rPr>
          <w:rFonts w:hint="eastAsia" w:ascii="宋体" w:hAnsi="宋体" w:eastAsia="宋体" w:cstheme="minorBidi"/>
          <w:color w:val="auto"/>
          <w:kern w:val="2"/>
          <w:sz w:val="24"/>
          <w:szCs w:val="24"/>
          <w:lang w:val="en-US" w:eastAsia="zh-CN"/>
        </w:rPr>
        <w:t>34</w:t>
      </w:r>
      <w:r>
        <w:rPr>
          <w:rFonts w:hint="eastAsia" w:ascii="宋体" w:hAnsi="宋体" w:eastAsia="宋体" w:cstheme="minorBidi"/>
          <w:color w:val="auto"/>
          <w:kern w:val="2"/>
          <w:sz w:val="24"/>
          <w:szCs w:val="24"/>
          <w:lang w:val="zh-CN"/>
        </w:rPr>
        <w:t>人，雇佣人员0人，离退休7人，遗属0人。</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r>
        <w:rPr>
          <w:rFonts w:hint="eastAsia" w:ascii="宋体" w:hAnsi="宋体" w:eastAsia="宋体" w:cs="宋体"/>
          <w:i w:val="0"/>
          <w:iCs w:val="0"/>
          <w:caps w:val="0"/>
          <w:color w:val="333333"/>
          <w:spacing w:val="0"/>
          <w:sz w:val="19"/>
          <w:szCs w:val="19"/>
          <w:shd w:val="clear" w:fill="FFFFFF"/>
        </w:rPr>
        <w:t>见附件</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r>
        <w:rPr>
          <w:rFonts w:hint="eastAsia" w:ascii="宋体" w:hAnsi="宋体" w:eastAsia="宋体" w:cs="宋体"/>
          <w:i w:val="0"/>
          <w:iCs w:val="0"/>
          <w:caps w:val="0"/>
          <w:color w:val="333333"/>
          <w:spacing w:val="0"/>
          <w:sz w:val="19"/>
          <w:szCs w:val="19"/>
          <w:shd w:val="clear" w:fill="FFFFFF"/>
        </w:rPr>
        <w:t>见附件</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r>
        <w:rPr>
          <w:rFonts w:hint="eastAsia" w:ascii="宋体" w:hAnsi="宋体" w:eastAsia="宋体" w:cs="宋体"/>
          <w:i w:val="0"/>
          <w:iCs w:val="0"/>
          <w:caps w:val="0"/>
          <w:color w:val="333333"/>
          <w:spacing w:val="0"/>
          <w:sz w:val="19"/>
          <w:szCs w:val="19"/>
          <w:shd w:val="clear" w:fill="FFFFFF"/>
        </w:rPr>
        <w:t>见附件</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r>
        <w:rPr>
          <w:rFonts w:hint="eastAsia" w:ascii="宋体" w:hAnsi="宋体" w:eastAsia="宋体" w:cs="宋体"/>
          <w:i w:val="0"/>
          <w:iCs w:val="0"/>
          <w:caps w:val="0"/>
          <w:color w:val="333333"/>
          <w:spacing w:val="0"/>
          <w:sz w:val="19"/>
          <w:szCs w:val="19"/>
          <w:shd w:val="clear" w:fill="FFFFFF"/>
        </w:rPr>
        <w:t>见附件</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r>
        <w:rPr>
          <w:rFonts w:hint="eastAsia" w:ascii="宋体" w:hAnsi="宋体" w:eastAsia="宋体" w:cs="宋体"/>
          <w:i w:val="0"/>
          <w:iCs w:val="0"/>
          <w:caps w:val="0"/>
          <w:color w:val="333333"/>
          <w:spacing w:val="0"/>
          <w:sz w:val="19"/>
          <w:szCs w:val="19"/>
          <w:shd w:val="clear" w:fill="FFFFFF"/>
        </w:rPr>
        <w:t>见附件</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r>
        <w:rPr>
          <w:rFonts w:hint="eastAsia" w:ascii="宋体" w:hAnsi="宋体" w:eastAsia="宋体" w:cs="宋体"/>
          <w:i w:val="0"/>
          <w:iCs w:val="0"/>
          <w:caps w:val="0"/>
          <w:color w:val="333333"/>
          <w:spacing w:val="0"/>
          <w:sz w:val="19"/>
          <w:szCs w:val="19"/>
          <w:shd w:val="clear" w:fill="FFFFFF"/>
        </w:rPr>
        <w:t>见附件</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七、政府性基金预算财政拨款收入支出决算表（本部门没有相关数据,故本表无数据）</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八、国有资本经营预算财政拨款支出决算表（本部门没有相关数据,故本表无数据）</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经费支出决算表（本部门没有相关数据,故本表无数据）</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510.93万元。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减少22.33万元,下降4.19%,主要原因是项目支出减少。</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2023年度收入合计510.93万元,其中：财政拨款收入510.93万元,占100.00%。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2023年度支出合计510.93万元,其中：基本支出391.87万元,占76.70%；项目支出119.05万元,占23.30%。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bookmarkStart w:id="6" w:name="_GoBack"/>
      <w:bookmarkEnd w:id="6"/>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510.93万元。与</w:t>
      </w:r>
      <w:r>
        <w:rPr>
          <w:rFonts w:hint="eastAsia" w:ascii="宋体" w:hAnsi="宋体"/>
          <w:color w:val="auto"/>
          <w:sz w:val="24"/>
          <w:szCs w:val="24"/>
          <w:lang w:val="en-US"/>
        </w:rPr>
        <w:t>上</w:t>
      </w:r>
      <w:r>
        <w:rPr>
          <w:rFonts w:hint="eastAsia" w:ascii="宋体" w:hAnsi="宋体"/>
          <w:color w:val="auto"/>
          <w:sz w:val="24"/>
          <w:szCs w:val="24"/>
          <w:lang w:val="zh-CN"/>
        </w:rPr>
        <w:t>年相比,各减少22.33万元,下降4.19%。主要原因是项目支出减少。</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2023年度一般公共预算财政拨款支出510.93万元,较上年决算数增加97.11万元,增长23.47%。主要原因是</w:t>
      </w:r>
      <w:r>
        <w:rPr>
          <w:rFonts w:hint="eastAsia" w:ascii="宋体" w:hAnsi="宋体"/>
          <w:color w:val="auto"/>
          <w:sz w:val="24"/>
          <w:szCs w:val="24"/>
          <w:lang w:val="en-US" w:eastAsia="zh-CN"/>
        </w:rPr>
        <w:t>教育支出增加</w:t>
      </w:r>
      <w:r>
        <w:rPr>
          <w:rFonts w:hint="eastAsia" w:ascii="宋体" w:hAnsi="宋体"/>
          <w:color w:val="auto"/>
          <w:sz w:val="24"/>
          <w:szCs w:val="24"/>
          <w:lang w:val="zh-CN"/>
        </w:rPr>
        <w:t>。</w:t>
      </w:r>
    </w:p>
    <w:p>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510.93万元，主要用于以下方面：教育支出450.91万元,占88.25%；社会保障和就业支出38.86万元,占7.61%；卫生健康支出21.15万元,占4.14%。</w:t>
      </w:r>
    </w:p>
    <w:p>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335.64万元,支出决算为510.93万元,完成年初预算的152.23%。其中：</w:t>
      </w:r>
    </w:p>
    <w:p>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b/>
          <w:bCs/>
          <w:color w:val="auto"/>
          <w:sz w:val="24"/>
          <w:szCs w:val="24"/>
          <w:lang w:val="en-US" w:eastAsia="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年初预算数为273.81万元,支出决算为450.91万元,完成年初预算的164.68%,决算数大于预算数的主要原因是</w:t>
      </w:r>
      <w:r>
        <w:rPr>
          <w:rFonts w:hint="eastAsia" w:ascii="宋体" w:hAnsi="宋体"/>
          <w:color w:val="auto"/>
          <w:sz w:val="24"/>
          <w:szCs w:val="24"/>
          <w:lang w:val="en-US" w:eastAsia="zh-CN"/>
        </w:rPr>
        <w:t>教育支出增加</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年初预算数为45.46万元,支出决算为38.86万元,完成年初预算的85.49%,决算数小于预算数的主要原因是</w:t>
      </w:r>
      <w:r>
        <w:rPr>
          <w:rFonts w:hint="eastAsia" w:ascii="宋体" w:hAnsi="宋体"/>
          <w:color w:val="auto"/>
          <w:sz w:val="24"/>
          <w:szCs w:val="24"/>
          <w:lang w:val="en-US" w:eastAsia="zh-CN"/>
        </w:rPr>
        <w:t>人员减少</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年初预算数为16.36万元,支出决算为21.15万元,完成年初预算的129.28%,决算数大于预算数的主要原因是在职人员工资增加。</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2023年度一般公共预算财政拨款基本支出391.87万元。其中：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389.93万元,较上年决算数增加42.95万元,增长12.38%,主要原因是人员工资增加。人员经费用途主要包括基本工资、津贴补贴、奖金、社会保障缴费、对个人和家庭的补助、奖励金。</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1.95万元,较上年决算数减少64.89万元,下降97.09%,主要原因是学生数减少。公用经费用途主要包括办公费、印刷费、邮电费、水电费、取暖费、差旅费、培训费、工会费、福利费、维修费。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2023年度政府性基金预算财政拨款年初结转和结余0.00万元,本年收入0.00万元,本年支出0.00万元,年末结转和结余0.00</w:t>
      </w:r>
      <w:r>
        <w:rPr>
          <w:rFonts w:hint="eastAsia" w:ascii="宋体" w:hAnsi="宋体"/>
          <w:color w:val="auto"/>
          <w:sz w:val="24"/>
          <w:szCs w:val="24"/>
          <w:lang w:val="en-US" w:eastAsia="zh-CN"/>
        </w:rPr>
        <w:t>万元</w:t>
      </w:r>
      <w:r>
        <w:rPr>
          <w:rFonts w:hint="eastAsia" w:ascii="宋体" w:hAnsi="宋体"/>
          <w:color w:val="auto"/>
          <w:sz w:val="24"/>
          <w:szCs w:val="24"/>
          <w:lang w:val="zh-CN"/>
        </w:rPr>
        <w:t>,本部门2023年度无政府性基金收入,也没有使用政府性基金安排的支出。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2023年度国有资本经营预算财政拨款本年支出0.00万元,本部门2023年度没有使用国有资本经营预算安排的支出。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预算数为0.00万元,支出决算为0.00万元,我单位属于</w:t>
      </w:r>
      <w:r>
        <w:rPr>
          <w:rFonts w:hint="eastAsia" w:ascii="宋体" w:hAnsi="宋体"/>
          <w:color w:val="auto"/>
          <w:sz w:val="24"/>
          <w:szCs w:val="24"/>
          <w:lang w:val="en-US" w:eastAsia="zh-CN"/>
        </w:rPr>
        <w:t>事业单位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r>
        <w:rPr>
          <w:rFonts w:hint="default" w:ascii="宋体" w:hAnsi="宋体"/>
          <w:color w:val="auto"/>
          <w:sz w:val="24"/>
          <w:szCs w:val="24"/>
          <w:lang w:val="zh-CN"/>
        </w:rPr>
        <w:t>”</w:t>
      </w:r>
    </w:p>
    <w:p>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numPr>
          <w:ilvl w:val="0"/>
          <w:numId w:val="3"/>
        </w:num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p>
    <w:p>
      <w:pPr>
        <w:numPr>
          <w:ilvl w:val="0"/>
          <w:numId w:val="0"/>
        </w:numPr>
        <w:spacing w:before="100" w:beforeLines="0" w:after="100" w:afterLines="0"/>
        <w:jc w:val="left"/>
        <w:rPr>
          <w:rFonts w:hint="default" w:ascii="宋体" w:hAnsi="宋体"/>
          <w:color w:val="FF0000"/>
          <w:sz w:val="24"/>
          <w:szCs w:val="24"/>
          <w:lang w:val="en-US" w:eastAsia="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2023年度本部门机关运行经费支出0.00万元。</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本年度会议费支出0.00万元,较上年决算数减少0.0万元。本年度培训费支出1.88万元,较上年决算数增加0.88万元,增长88.0%,主要原因是</w:t>
      </w:r>
      <w:r>
        <w:rPr>
          <w:rFonts w:hint="eastAsia" w:ascii="宋体" w:hAnsi="宋体"/>
          <w:color w:val="auto"/>
          <w:sz w:val="24"/>
          <w:szCs w:val="24"/>
          <w:lang w:val="en-US" w:eastAsia="zh-CN"/>
        </w:rPr>
        <w:t>培训人员增加</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2023年度本部门政府采购支出合计0.00万元,我单位2023年度无政府采购相关经费。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1辆,其中,副部(省)级及以上领导用车0辆、主要领导干部用车0辆、机要通信用车0辆、应急保障用车0辆、执法执勤用车0辆,特种专业技术用车0辆,离退休干部用车0辆,其他用车1辆,其他用车主要是用于</w:t>
      </w:r>
      <w:r>
        <w:rPr>
          <w:rFonts w:hint="eastAsia" w:ascii="宋体" w:hAnsi="宋体"/>
          <w:color w:val="auto"/>
          <w:sz w:val="24"/>
          <w:szCs w:val="24"/>
          <w:lang w:val="en-US" w:eastAsia="zh-CN"/>
        </w:rPr>
        <w:t>垃圾清运</w:t>
      </w:r>
      <w:r>
        <w:rPr>
          <w:rFonts w:hint="eastAsia" w:ascii="宋体" w:hAnsi="宋体"/>
          <w:color w:val="auto"/>
          <w:sz w:val="24"/>
          <w:szCs w:val="24"/>
          <w:lang w:val="zh-CN"/>
        </w:rPr>
        <w:t>。单价100万元(含)以上设备0台(套)。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FF0000"/>
          <w:sz w:val="24"/>
          <w:szCs w:val="24"/>
          <w:lang w:val="zh-CN"/>
        </w:rPr>
      </w:pP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spacing w:before="100" w:after="100"/>
        <w:ind w:firstLine="480" w:firstLineChars="200"/>
        <w:jc w:val="left"/>
        <w:rPr>
          <w:rFonts w:ascii="宋体" w:hAnsi="宋体" w:cs="宋体"/>
          <w:kern w:val="0"/>
          <w:sz w:val="24"/>
          <w:szCs w:val="24"/>
        </w:rPr>
      </w:pPr>
      <w:r>
        <w:rPr>
          <w:rFonts w:hint="eastAsia" w:ascii="宋体" w:hAnsi="宋体" w:cs="宋体"/>
          <w:kern w:val="0"/>
          <w:sz w:val="24"/>
          <w:szCs w:val="24"/>
        </w:rPr>
        <w:t>根据预算绩效管理要求,本单位对202</w:t>
      </w:r>
      <w:r>
        <w:rPr>
          <w:rFonts w:ascii="宋体" w:hAnsi="宋体" w:cs="宋体"/>
          <w:kern w:val="0"/>
          <w:sz w:val="24"/>
          <w:szCs w:val="24"/>
        </w:rPr>
        <w:t>3</w:t>
      </w:r>
      <w:r>
        <w:rPr>
          <w:rFonts w:hint="eastAsia" w:ascii="宋体" w:hAnsi="宋体" w:cs="宋体"/>
          <w:kern w:val="0"/>
          <w:sz w:val="24"/>
          <w:szCs w:val="24"/>
        </w:rPr>
        <w:t>年度一般公共预算项目支出开展绩效自评,对202</w:t>
      </w:r>
      <w:r>
        <w:rPr>
          <w:rFonts w:ascii="宋体" w:hAnsi="宋体" w:cs="宋体"/>
          <w:kern w:val="0"/>
          <w:sz w:val="24"/>
          <w:szCs w:val="24"/>
        </w:rPr>
        <w:t>3</w:t>
      </w:r>
      <w:r>
        <w:rPr>
          <w:rFonts w:hint="eastAsia" w:ascii="宋体" w:hAnsi="宋体" w:cs="宋体"/>
          <w:kern w:val="0"/>
          <w:sz w:val="24"/>
          <w:szCs w:val="24"/>
        </w:rPr>
        <w:t>年整体支出开展了绩效自评共涉及资金</w:t>
      </w:r>
      <w:r>
        <w:rPr>
          <w:rFonts w:hint="eastAsia" w:ascii="宋体" w:hAnsi="宋体" w:cs="宋体"/>
          <w:kern w:val="0"/>
          <w:sz w:val="24"/>
          <w:szCs w:val="24"/>
          <w:lang w:val="en-US" w:eastAsia="zh-CN"/>
        </w:rPr>
        <w:t>510.93</w:t>
      </w:r>
      <w:r>
        <w:rPr>
          <w:rFonts w:ascii="宋体" w:hAnsi="宋体" w:cs="宋体"/>
          <w:kern w:val="0"/>
          <w:sz w:val="24"/>
          <w:szCs w:val="24"/>
        </w:rPr>
        <w:t>万</w:t>
      </w:r>
      <w:r>
        <w:rPr>
          <w:rFonts w:hint="eastAsia" w:ascii="宋体" w:hAnsi="宋体" w:cs="宋体"/>
          <w:kern w:val="0"/>
          <w:sz w:val="24"/>
          <w:szCs w:val="24"/>
        </w:rPr>
        <w:t>元,占一般公共预算项目支出总额的100%。</w:t>
      </w:r>
      <w:r>
        <w:rPr>
          <w:rFonts w:hint="eastAsia" w:ascii="宋体" w:hAnsi="宋体" w:eastAsia="宋体" w:cs="宋体"/>
          <w:color w:val="000000"/>
          <w:kern w:val="0"/>
          <w:sz w:val="24"/>
          <w:szCs w:val="24"/>
          <w:lang w:val="en-US"/>
        </w:rPr>
        <w:t>其中,一级项目</w:t>
      </w:r>
      <w:r>
        <w:rPr>
          <w:rFonts w:hint="eastAsia" w:ascii="宋体" w:hAnsi="宋体" w:cs="宋体"/>
          <w:color w:val="000000"/>
          <w:kern w:val="0"/>
          <w:sz w:val="24"/>
          <w:szCs w:val="24"/>
          <w:lang w:val="en-US" w:eastAsia="zh-CN"/>
        </w:rPr>
        <w:t>2</w:t>
      </w:r>
      <w:r>
        <w:rPr>
          <w:rFonts w:hint="eastAsia" w:ascii="宋体" w:hAnsi="宋体" w:eastAsia="宋体" w:cs="宋体"/>
          <w:color w:val="000000"/>
          <w:kern w:val="0"/>
          <w:sz w:val="24"/>
          <w:szCs w:val="24"/>
          <w:lang w:val="en-US"/>
        </w:rPr>
        <w:t>个,二级</w:t>
      </w:r>
      <w:r>
        <w:rPr>
          <w:rFonts w:hint="eastAsia" w:ascii="宋体" w:hAnsi="宋体" w:eastAsia="宋体" w:cs="宋体"/>
          <w:color w:val="auto"/>
          <w:kern w:val="0"/>
          <w:sz w:val="24"/>
          <w:szCs w:val="24"/>
          <w:lang w:val="en-US"/>
        </w:rPr>
        <w:t>项目</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个,共涉及资金</w:t>
      </w:r>
      <w:r>
        <w:rPr>
          <w:rFonts w:hint="eastAsia" w:ascii="宋体" w:hAnsi="宋体" w:cs="宋体"/>
          <w:color w:val="auto"/>
          <w:kern w:val="0"/>
          <w:sz w:val="24"/>
          <w:szCs w:val="24"/>
          <w:lang w:val="en-US" w:eastAsia="zh-CN"/>
        </w:rPr>
        <w:t>28.87</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000000"/>
          <w:kern w:val="0"/>
          <w:sz w:val="24"/>
          <w:szCs w:val="24"/>
          <w:lang w:val="en-US"/>
        </w:rPr>
        <w:t>,</w:t>
      </w:r>
      <w:r>
        <w:rPr>
          <w:rFonts w:hint="eastAsia" w:ascii="宋体" w:hAnsi="宋体" w:cs="宋体"/>
          <w:kern w:val="0"/>
          <w:sz w:val="24"/>
          <w:szCs w:val="24"/>
        </w:rPr>
        <w:t>占一般公共预算项目支出总额的100%。组织对“学生营养餐”“困难学生生活补助”等2个项目开展了部门评价,涉及一般公共预算支出</w:t>
      </w:r>
      <w:bookmarkStart w:id="0" w:name="OLE_LINK24"/>
      <w:bookmarkStart w:id="1" w:name="OLE_LINK23"/>
      <w:r>
        <w:rPr>
          <w:rFonts w:hint="eastAsia" w:ascii="宋体" w:hAnsi="宋体" w:cs="宋体"/>
          <w:kern w:val="0"/>
          <w:sz w:val="24"/>
          <w:szCs w:val="24"/>
          <w:lang w:val="en-US" w:eastAsia="zh-CN"/>
        </w:rPr>
        <w:t>110.54</w:t>
      </w:r>
      <w:r>
        <w:rPr>
          <w:rFonts w:hint="eastAsia" w:ascii="宋体" w:hAnsi="宋体" w:cs="宋体"/>
          <w:kern w:val="0"/>
          <w:sz w:val="24"/>
          <w:szCs w:val="24"/>
        </w:rPr>
        <w:t>万元</w:t>
      </w:r>
      <w:bookmarkEnd w:id="0"/>
      <w:bookmarkEnd w:id="1"/>
      <w:r>
        <w:rPr>
          <w:rFonts w:hint="eastAsia" w:ascii="宋体" w:hAnsi="宋体" w:cs="宋体"/>
          <w:kern w:val="0"/>
          <w:sz w:val="24"/>
          <w:szCs w:val="24"/>
        </w:rPr>
        <w:t>,政府性基金预算支出0元,国有资本经营预算支出0元。从评价情况来看,从项目的经济性、效率性、有效性和可持续性等方面进行量化、具体分析，综合得分均超过98分，评价结果为“优”。</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spacing w:before="100" w:after="100"/>
        <w:ind w:firstLine="480" w:firstLineChars="200"/>
        <w:jc w:val="left"/>
        <w:rPr>
          <w:rFonts w:ascii="宋体" w:hAnsi="宋体" w:cs="宋体"/>
          <w:kern w:val="0"/>
          <w:sz w:val="24"/>
          <w:szCs w:val="24"/>
        </w:rPr>
      </w:pPr>
      <w:r>
        <w:rPr>
          <w:rFonts w:hint="eastAsia" w:ascii="宋体" w:hAnsi="宋体" w:cs="宋体"/>
          <w:kern w:val="0"/>
          <w:sz w:val="24"/>
          <w:szCs w:val="24"/>
        </w:rPr>
        <w:t>我单位在202</w:t>
      </w:r>
      <w:r>
        <w:rPr>
          <w:rFonts w:ascii="宋体" w:hAnsi="宋体" w:cs="宋体"/>
          <w:kern w:val="0"/>
          <w:sz w:val="24"/>
          <w:szCs w:val="24"/>
        </w:rPr>
        <w:t>3</w:t>
      </w:r>
      <w:r>
        <w:rPr>
          <w:rFonts w:hint="eastAsia" w:ascii="宋体" w:hAnsi="宋体" w:cs="宋体"/>
          <w:kern w:val="0"/>
          <w:sz w:val="24"/>
          <w:szCs w:val="24"/>
        </w:rPr>
        <w:t>年度部门决算中反映部门整体支出绩效自评结果。部门整体支出绩效自评情况：根据年初设定的绩效目标,项目绩效自评得分100分。全年预算数为</w:t>
      </w:r>
      <w:bookmarkStart w:id="2" w:name="OLE_LINK22"/>
      <w:bookmarkStart w:id="3" w:name="OLE_LINK21"/>
      <w:r>
        <w:rPr>
          <w:rFonts w:hint="eastAsia" w:ascii="宋体" w:hAnsi="宋体" w:cs="宋体"/>
          <w:kern w:val="0"/>
          <w:sz w:val="24"/>
          <w:szCs w:val="24"/>
          <w:lang w:val="en-US" w:eastAsia="zh-CN"/>
        </w:rPr>
        <w:t>510.93</w:t>
      </w:r>
      <w:r>
        <w:rPr>
          <w:rFonts w:ascii="宋体" w:hAnsi="宋体" w:cs="宋体"/>
          <w:kern w:val="0"/>
          <w:sz w:val="24"/>
          <w:szCs w:val="24"/>
        </w:rPr>
        <w:t>万</w:t>
      </w:r>
      <w:r>
        <w:rPr>
          <w:rFonts w:hint="eastAsia" w:ascii="宋体" w:hAnsi="宋体" w:cs="宋体"/>
          <w:kern w:val="0"/>
          <w:sz w:val="24"/>
          <w:szCs w:val="24"/>
        </w:rPr>
        <w:t>元</w:t>
      </w:r>
      <w:bookmarkEnd w:id="2"/>
      <w:bookmarkEnd w:id="3"/>
      <w:r>
        <w:rPr>
          <w:rFonts w:hint="eastAsia" w:ascii="宋体" w:hAnsi="宋体" w:cs="宋体"/>
          <w:kern w:val="0"/>
          <w:sz w:val="24"/>
          <w:szCs w:val="24"/>
        </w:rPr>
        <w:t>,执行数为</w:t>
      </w:r>
      <w:r>
        <w:rPr>
          <w:rFonts w:hint="eastAsia" w:ascii="宋体" w:hAnsi="宋体" w:cs="宋体"/>
          <w:kern w:val="0"/>
          <w:sz w:val="24"/>
          <w:szCs w:val="24"/>
          <w:lang w:val="en-US" w:eastAsia="zh-CN"/>
        </w:rPr>
        <w:t>510.93</w:t>
      </w:r>
      <w:r>
        <w:rPr>
          <w:rFonts w:hint="eastAsia" w:ascii="宋体" w:hAnsi="宋体" w:cs="宋体"/>
          <w:kern w:val="0"/>
          <w:sz w:val="24"/>
          <w:szCs w:val="24"/>
        </w:rPr>
        <w:t>万元,完成预算的100%。202</w:t>
      </w:r>
      <w:r>
        <w:rPr>
          <w:rFonts w:ascii="宋体" w:hAnsi="宋体" w:cs="宋体"/>
          <w:kern w:val="0"/>
          <w:sz w:val="24"/>
          <w:szCs w:val="24"/>
        </w:rPr>
        <w:t>3</w:t>
      </w:r>
      <w:r>
        <w:rPr>
          <w:rFonts w:hint="eastAsia" w:ascii="宋体" w:hAnsi="宋体" w:cs="宋体"/>
          <w:kern w:val="0"/>
          <w:sz w:val="24"/>
          <w:szCs w:val="24"/>
        </w:rPr>
        <w:t>年度部门决算中反映学生营养餐、困难学生生活补助等2个项目绩效自评结果。学生营养餐项目绩效自评情况：根据年初设定的绩效目标,项目绩效自评得分为100分。项目全年预算数为</w:t>
      </w:r>
      <w:r>
        <w:rPr>
          <w:rFonts w:hint="eastAsia" w:ascii="宋体" w:hAnsi="宋体" w:cs="宋体"/>
          <w:kern w:val="0"/>
          <w:sz w:val="24"/>
          <w:szCs w:val="24"/>
          <w:lang w:val="en-US" w:eastAsia="zh-CN"/>
        </w:rPr>
        <w:t>17.77</w:t>
      </w:r>
      <w:r>
        <w:rPr>
          <w:rFonts w:hint="eastAsia" w:ascii="宋体" w:hAnsi="宋体" w:cs="宋体"/>
          <w:kern w:val="0"/>
          <w:sz w:val="24"/>
          <w:szCs w:val="24"/>
        </w:rPr>
        <w:t>万元,执行数为</w:t>
      </w:r>
      <w:r>
        <w:rPr>
          <w:rFonts w:hint="eastAsia" w:ascii="宋体" w:hAnsi="宋体" w:cs="宋体"/>
          <w:kern w:val="0"/>
          <w:sz w:val="24"/>
          <w:szCs w:val="24"/>
          <w:lang w:val="en-US" w:eastAsia="zh-CN"/>
        </w:rPr>
        <w:t>17.77</w:t>
      </w:r>
      <w:r>
        <w:rPr>
          <w:rFonts w:hint="eastAsia" w:ascii="宋体" w:hAnsi="宋体" w:cs="宋体"/>
          <w:kern w:val="0"/>
          <w:sz w:val="24"/>
          <w:szCs w:val="24"/>
        </w:rPr>
        <w:t>万元,完成预算的100%。项目绩效目标完成情况：一是资金拨付和使用按照计划完成；二是确保我校学生营养得到保障。发现的主要问题及原因：随着物价上涨，补助标准有待提高。下一步改进措施：完善相关机制，保障项目实施。困难学生生活补助项目绩效自评情况根据年初设定的绩效目标,项目绩效自评得分为100分。项目全年预算数为</w:t>
      </w:r>
      <w:r>
        <w:rPr>
          <w:rFonts w:hint="eastAsia" w:ascii="宋体" w:hAnsi="宋体" w:cs="宋体"/>
          <w:kern w:val="0"/>
          <w:sz w:val="24"/>
          <w:szCs w:val="24"/>
          <w:lang w:val="en-US" w:eastAsia="zh-CN"/>
        </w:rPr>
        <w:t>11.10</w:t>
      </w:r>
      <w:r>
        <w:rPr>
          <w:rFonts w:ascii="宋体" w:hAnsi="宋体" w:cs="宋体"/>
          <w:kern w:val="0"/>
          <w:sz w:val="24"/>
          <w:szCs w:val="24"/>
        </w:rPr>
        <w:t>万</w:t>
      </w:r>
      <w:r>
        <w:rPr>
          <w:rFonts w:hint="eastAsia" w:ascii="宋体" w:hAnsi="宋体" w:cs="宋体"/>
          <w:kern w:val="0"/>
          <w:sz w:val="24"/>
          <w:szCs w:val="24"/>
        </w:rPr>
        <w:t>元,执行数为</w:t>
      </w:r>
      <w:r>
        <w:rPr>
          <w:rFonts w:hint="eastAsia" w:ascii="宋体" w:hAnsi="宋体" w:cs="宋体"/>
          <w:kern w:val="0"/>
          <w:sz w:val="24"/>
          <w:szCs w:val="24"/>
          <w:lang w:val="en-US" w:eastAsia="zh-CN"/>
        </w:rPr>
        <w:t>11.10</w:t>
      </w:r>
      <w:r>
        <w:rPr>
          <w:rFonts w:ascii="宋体" w:hAnsi="宋体" w:cs="宋体"/>
          <w:kern w:val="0"/>
          <w:sz w:val="24"/>
          <w:szCs w:val="24"/>
        </w:rPr>
        <w:t>万元</w:t>
      </w:r>
      <w:r>
        <w:rPr>
          <w:rFonts w:hint="eastAsia" w:ascii="宋体" w:hAnsi="宋体" w:cs="宋体"/>
          <w:kern w:val="0"/>
          <w:sz w:val="24"/>
          <w:szCs w:val="24"/>
        </w:rPr>
        <w:t>,完成预算的100%。项目绩效目标完成情况：一是资金拨付和使用按照计划完成；二是保证专款专用。发现的主要问题及原因：台账管理欠规范。下一步改进措施：做好学生资助台账建设。</w:t>
      </w:r>
    </w:p>
    <w:p>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三、部门绩效评价结果</w:t>
      </w:r>
    </w:p>
    <w:p>
      <w:pPr>
        <w:spacing w:before="100" w:after="100"/>
        <w:ind w:firstLine="480" w:firstLineChars="200"/>
        <w:rPr>
          <w:rFonts w:asciiTheme="minorEastAsia" w:hAnsiTheme="minorEastAsia" w:eastAsiaTheme="minorEastAsia" w:cstheme="minorEastAsia"/>
          <w:sz w:val="24"/>
          <w:szCs w:val="24"/>
          <w:lang w:val="zh-CN"/>
        </w:rPr>
      </w:pPr>
      <w:bookmarkStart w:id="4" w:name="OLE_LINK27"/>
      <w:bookmarkStart w:id="5" w:name="OLE_LINK26"/>
      <w:r>
        <w:rPr>
          <w:rFonts w:hint="eastAsia" w:asciiTheme="minorEastAsia" w:hAnsiTheme="minorEastAsia" w:eastAsiaTheme="minorEastAsia" w:cstheme="minorEastAsia"/>
          <w:sz w:val="24"/>
          <w:szCs w:val="24"/>
          <w:lang w:val="zh-CN"/>
        </w:rPr>
        <w:t>部门（单位）整体支出绩效自评表（见附件）</w:t>
      </w:r>
    </w:p>
    <w:bookmarkEnd w:id="4"/>
    <w:bookmarkEnd w:id="5"/>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wZWY4N2I5YzdhNmUzYjdhMjRkNTI4MmRkYzYyNjUifQ=="/>
  </w:docVars>
  <w:rsids>
    <w:rsidRoot w:val="00000000"/>
    <w:rsid w:val="482F27C3"/>
    <w:rsid w:val="4D390424"/>
    <w:rsid w:val="66F15056"/>
    <w:rsid w:val="73AD0503"/>
    <w:rsid w:val="73CC1E0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acba5e80-043c-43d3-b6b2-3d212e2b3ddd}">
  <ds:schemaRefs/>
</ds:datastoreItem>
</file>

<file path=customXml/itemProps2.xml><?xml version="1.0" encoding="utf-8"?>
<ds:datastoreItem xmlns:ds="http://schemas.openxmlformats.org/officeDocument/2006/customXml" ds:itemID="{a53eabfc-440d-4d98-80e6-f65fe481cff7}">
  <ds:schemaRefs/>
</ds:datastoreItem>
</file>

<file path=customXml/itemProps3.xml><?xml version="1.0" encoding="utf-8"?>
<ds:datastoreItem xmlns:ds="http://schemas.openxmlformats.org/officeDocument/2006/customXml" ds:itemID="{a416d849-a6d4-4b81-8691-fd55dafbf6dd}">
  <ds:schemaRefs/>
</ds:datastoreItem>
</file>

<file path=customXml/itemProps4.xml><?xml version="1.0" encoding="utf-8"?>
<ds:datastoreItem xmlns:ds="http://schemas.openxmlformats.org/officeDocument/2006/customXml" ds:itemID="{57d25f0e-2b4a-40e0-b72e-fb58fe400b88}">
  <ds:schemaRefs/>
</ds:datastoreItem>
</file>

<file path=customXml/itemProps5.xml><?xml version="1.0" encoding="utf-8"?>
<ds:datastoreItem xmlns:ds="http://schemas.openxmlformats.org/officeDocument/2006/customXml" ds:itemID="{4c559c2d-c22c-4ad4-a7eb-885b4e1465b2}">
  <ds:schemaRefs/>
</ds:datastoreItem>
</file>

<file path=customXml/itemProps6.xml><?xml version="1.0" encoding="utf-8"?>
<ds:datastoreItem xmlns:ds="http://schemas.openxmlformats.org/officeDocument/2006/customXml" ds:itemID="{d609b912-94c6-4b9a-adfb-9d4308486d97}">
  <ds:schemaRefs/>
</ds:datastoreItem>
</file>

<file path=customXml/itemProps7.xml><?xml version="1.0" encoding="utf-8"?>
<ds:datastoreItem xmlns:ds="http://schemas.openxmlformats.org/officeDocument/2006/customXml" ds:itemID="{d52f4d3d-098f-45d5-99d1-69a6ec22b7a8}">
  <ds:schemaRefs/>
</ds:datastoreItem>
</file>

<file path=customXml/itemProps8.xml><?xml version="1.0" encoding="utf-8"?>
<ds:datastoreItem xmlns:ds="http://schemas.openxmlformats.org/officeDocument/2006/customXml" ds:itemID="{3c8314c3-6122-454d-be86-eb03e08d5a02}">
  <ds:schemaRefs/>
</ds:datastoreItem>
</file>

<file path=customXml/itemProps9.xml><?xml version="1.0" encoding="utf-8"?>
<ds:datastoreItem xmlns:ds="http://schemas.openxmlformats.org/officeDocument/2006/customXml" ds:itemID="{df4a1238-797e-4d1e-8b5d-0143d71ea426}">
  <ds:schemaRefs/>
</ds:datastoreItem>
</file>

<file path=docProps/app.xml><?xml version="1.0" encoding="utf-8"?>
<Properties xmlns="http://schemas.openxmlformats.org/officeDocument/2006/extended-properties" xmlns:vt="http://schemas.openxmlformats.org/officeDocument/2006/docPropsVTypes">
  <Template>Normal.dotm</Template>
  <Pages>7</Pages>
  <Words>4428</Words>
  <Characters>4872</Characters>
  <Lines>0</Lines>
  <Paragraphs>0</Paragraphs>
  <TotalTime>3</TotalTime>
  <ScaleCrop>false</ScaleCrop>
  <LinksUpToDate>false</LinksUpToDate>
  <CharactersWithSpaces>4876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 ☀ </cp:lastModifiedBy>
  <dcterms:modified xsi:type="dcterms:W3CDTF">2024-09-19T00:56:48Z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47F60BCC993545968B9DF188FF340771_13</vt:lpwstr>
  </property>
</Properties>
</file>